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(12ª rodada, incorporando os apontamentos do cliente — demanda pelo índice exato 2025, régua de frete integralmente medida, mercado-base de três municípios, memória de cálculo das obras/Guriri com horizonte de 14 anos, referencial de coeficientes nas composições oficiais DER-ES/SINAPI e, agora, o levantamento viário RECONCILIADO de Guriri — 437 vias medidas e 637 pontos auditados, listados um a um com coordenada e data).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de Guriri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um volume agora medido e auditado, e não estimado: o levantamento das 437 vias dos 21 loteamentos que formam o balneário, com a situação de pavimentação verificada ponto a ponto em campo virtual — 637 pontos listados um a um, com coordenada, fonte e data de imagem —, apurou 193,4 km de vias, das quais apenas 26,6% pavimentadas — faltam 1.216.547 m² de pista, área calculada via a via pela caixa de via registrada no quadro de cada planta, e 554.203 m² de calçada, ou 874 a 1.144 mil toneladas de agregados, das quais 751 a 951 mil de produtos de britagem (banda composicional das tabelas oficiais DER-ES/SINAPI — memória de cálculo anexa; 704 a 892 mil t pelo piso de largura de 8 m, que segue publicado). As Bacias 1 e 2 da macrodrenagem cobrem apenas 20,5% da pista faltante: ao ritmo contratual do próprio Estado (125 mil m² em 1.620 dias), concluir a pavimentação de Guriri levaria 43 anos com uma bacia por vez, ou 21 anos com duas simultâneas — contra os 14 anos do financiamento pleiteado. A demanda é liberada em fases pela própria lógica construtiva: pavimenta-se depois de drenar, bacia a bacia (a Bacia 2 conclui em 2028; a Bacia 1 corre por 1.620 dias contratuais; a Bacia 3 ainda será licitada). As projeções do empreendimento incorporam apenas 78 a 117 mil t de produtos de britagem — cerca de um décimo do potencial medido de Guriri, e o equivalente a 3,2 a 4,0 anos de produção integral da pedreira no platô. Parte do restante corresponde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(12ª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Inventário viário de Guriri: a estimativa saiu, o dado medido entrou — e a correção é grande. A malha do balneário foi levantada sobre os PROJETOS DOS 21 LOTEAMENTOS que o compõem e a planilha oficial de loteamentos da Prefeitura, com o traçado de cada uma das 437 vias medido em OpenStreetMap e a situação de pavimentação estabelecida por AUDITORIA PONTO A PONTO em campo virtual, classificando a superfície da pista (asfalto e bloquete = pavimentada; saibro e areia = não) e a existência de calçada nas testadas — 496 pontos listados um a um com coordenada, fonte e data de imagem (517 no Google Street View e 120 em satélite), dos quais 496 creditados a vias nomeadas e 141 à malha física do loteamento. Resultado: 193.375 m de vias (193,4 km), das quais 51.379 m (26,6%) pavimentados; faltam 141.996 m de pista — 1.135.968 m² à largura de projeto de 8 m — mais 566.492 m² de calçada. A estimativa por grade que as versões anteriores usavam (40–48 km / 350–400 mil m²) SUBESTIMAVA a malha em 4,0 a 4,8 vezes: ela supunha ~11 avenidas e ~31 ruas numa grade única, quando o balneário é formado por 21 loteamentos distintos. Em toneladas, o que falta pavimentar passa de 256–374 para 822–1.077 mil t de agregados, e de 219–312 para 705–893 mil t de produtos de britagem. Três consequências para o argumento: as Bacias 1 e 2 cobrem apenas 22,0% do que falta, restando 885.968 m² sem contrato; ao ritmo contratual do próprio Estado a pavimentação de Guriri leva de 20 a 40 anos, contra os 14 do financiamento; e o volume que as projeções incorporam (78–117 mil t, inalterado) passa de “pouco mais de um terço” para CERCA DE UM DÉCIMO do potencial — o estudo era ainda mais conservador do que declarava. Registre-se com todas as letras o que NÃO mudou: nenhuma projeção de receita foi tocada. As vendas seguem em 63 mil t (ano 1), 126 mil (ano 2) e 237.516 t/ano a partir do ano 3; a captura ponderada, em 207–245 mil t/ano; o mercado endereçável, em 421–577 mil t/ano; a participação do platô, em 41–56%. O inventário não serviu para aumentar receita — serviu para demonstrar que a demanda sobrevive ao prazo do financiamento.</w:t>
      </w:r>
    </w:p>
    <w:p>
      <w:pPr>
        <w:spacing w:after="160"/>
      </w:pPr>
      <w:r>
        <w:rPr>
          <w:b w:val="0"/>
          <w:i w:val="0"/>
          <w:color w:val="C00000"/>
        </w:rPr>
        <w:t>Retratação e pendência resolvida — o que esta 11ª rodada corrigiu da 10ª. A revisão anterior publicou totais PRELIMINARES do mesmo levantamento, recebidos antes do fechamento da auditoria de campo virtual: 38.868 m pavimentados (20,1%), 154.506 m e 1.236.048 m² a pavimentar, 145.465 m e 581.856 m² de passeio, com o método descrito como “satélite com reverificação a cada 350 m”. A planilha final de 19/08/2026 os substitui: a pista pavimentada sobe para 51.379 m (26,6%) e o que falta cai para 141.996 m, reduzindo o potencial em cerca de 8% — ajuste DESFAVORÁVEL ao nosso argumento e registrado por isso mesmo. O método real também é outro, e melhor: medição do traçado em OpenStreetMap sobre as plantas, mais auditoria ponto a ponto em campo virtual, com 69% da metragem decidida por ponto próprio. Duas informações novas entram no pacote. (1) CAMADA DE CONFIANÇA: 136.394 m (70,5% da malha) têm traçado medido sobre imagem e 56.979 m são vias previstas em planta, cuja existência física deve ser confirmada em campo antes de orçar; descontadas integralmente estas últimas, o que falta pavimentar em via medida ainda representa 446 a 561 mil t de produtos de britagem (valores da versão reconciliada) — sozinhas, várias vezes o que as projeções incorporam. (2) A PENDÊNCIA DECLARADA NA RODADA ANTERIOR ESTÁ RESOLVIDA: a quebra por loteamento é agora o Anexo A-3 da memória de cálculo, com as 21 linhas — proprietário/empreendedor, matrícula de registro, área oficial, nº de vias, pontos auditados, extensão, pavimentado, falta em m e m² e potencial de britagem de cada loteamento —, o que permite auditar o inventário loteamento a loteamento. Todos os números desta rodada são lidos diretamente da planilha-fonte pelo gerador dos documentos, sem digitação intermediária, e a soma das 21 linhas fecha com o total geral em todas as colunas.</w:t>
      </w:r>
    </w:p>
    <w:p>
      <w:pPr>
        <w:spacing w:after="160"/>
      </w:pPr>
      <w:r>
        <w:rPr>
          <w:b w:val="0"/>
          <w:i w:val="0"/>
          <w:color w:val="C00000"/>
        </w:rPr>
        <w:t>Desfecho da terceira auditoria: a fonte respondeu, reemitiu a planilha, e a checamos antes de adotar. Os cinco achados foram levados por escrito a quem produziu o levantamento. Todos PROCEDEM — nenhum foi contestado. Três eram falha de exposição, dois eram números sem base que foram retirados. (1) OS PONTOS: os 141 que não fechavam foram efetivamente verificados, sobre traçado existente, em vias sem nome correspondente na planta; a planilha reemitida reporta as duas colunas (496 creditados a vias nomeadas + 141 de malha física = 637) e traz uma aba nova com os 637 listados um a um — id, coordenada, fonte, data da imagem, superfície e extensão representada. O pacote volta a citar 637, agora com a partição declarada e verificável. (2) A LARGURA: a caixa de via foi aberta; 138 das 437 vias têm caixa lida do quadro da planta, com regra de conversão declarada, e o m² passou a ser calculado via a via. A área de pista sobe 7,1% — mudança FAVORÁVEL a nós, e por isso o piso de 8 m segue publicado ao lado. (3) O PASSEIO: o percentual de calçada de dois loteamentos não tinha nenhuma leitura que o sustentasse e foi RETIRADO; o inventário de calçada cai de 566.492 para 554.203 m². (4) Escopo, escoamento e denominador do share, corrigidos por nós na rodada anterior, seguem como estão. Antes de adotar a versão nova fizemos doze checagens independentes — soma coluna a coluna, ids sem repetição, coordenadas dentro do polígono, partição de fontes, o teste de que os 517 pontos de Street View têm data de imagem e os 120 de satélite não têm, a regra de largura em cada uma das 437 vias e o m² de cada via — e todas fecham. Nenhuma projeção de receita se moveu.</w:t>
      </w:r>
    </w:p>
    <w:p>
      <w:pPr>
        <w:spacing w:after="160"/>
      </w:pPr>
      <w:r>
        <w:rPr>
          <w:b w:val="0"/>
          <w:i w:val="0"/>
          <w:color w:val="C00000"/>
        </w:rPr>
        <w:t>Terceira auditoria cega, e o que ela derrubou. Antes de publicar a versão anterior, um terceiro agente auditor recebeu apenas a planilha-fonte, os fatores e as 14 afirmações numéricas desta rodada — sem nenhuma derivação nossa e sem acesso aos documentos — com a instrução de tentar DERRUBAR cada uma. PLACAR: 3 CONFERE · 9 CONFERE COM RESSALVA · 2 DIVERGE. Quatro correções foram acatadas e já estão no texto. (1) A CONTAGEM DE PONTOS: o resumo da planilha declara 637 pontos, mas as 21 abas somam 496 via a via — o mesmo número por dois caminhos independentes —, e 120 dos declarados são de satélite, não de Street View. O pacote passa a citar 496, o número auditável, e nomeia os três loteamentos sem nenhum ponto próprio. (2) ESCOPO: o texto alternava entre “pista” e “pista mais calçada” sem declarar qual estava em uso, sempre na direção que aumentava o número; o horizonte passa a usar PISTA SÓ como referência, com a calçada mostrada à parte. (3) ESCOAMENTO: dizer que o resíduo escoa em 20 anos contradizia o prazo do ritmo de uma bacia; a memória foi reescrita para escoar ao ritmo contratual do próprio Estado, e o argumento deixa de ser de magnitude e passa a ser de DURAÇÃO — 17 a 21 mil t/ano por três décadas, contra os 13–19 mil t/ano por seis anos que as projeções contam. (4) DENOMINADOR DO SHARE: os 9%–17% valem contra o inventário completo; contra a base estritamente medida são 14% a 27%, e as duas leituras passam a ser publicadas lado a lado. Acrescentou-se ainda a sensibilidade da largura de pista — os 8 m são premissa escalar, sem coluna de largura na fonte; a 7 m o potencial cai 13%. Nenhuma projeção de receita se moveu por nada disso.</w:t>
      </w:r>
    </w:p>
    <w:p>
      <w:pPr>
        <w:spacing w:after="160"/>
      </w:pPr>
      <w:r>
        <w:rPr>
          <w:b w:val="0"/>
          <w:i w:val="0"/>
          <w:color w:val="C00000"/>
        </w:rPr>
        <w:t>Referencial de coeficientes rebaseado — e uma correção contra nós, dita sem rodeio. A pedido do cliente, cada coeficiente que converte obra em tonelada ganhou dossiê próprio (Anexo C da memória): fonte primária, status (oficial / setorial / premissa) e faixa mínima–máxima por tipo de obra. A verificação de fontes expôs um erro nosso: o fator de 1,4 t/m² usado para a pavimentação de Guriri era, na origem, o fator de EDIFICAÇÃO da tabela ANEPAC (1.360 t/1.000 m²), transplantado indevidamente — a linha setorial de pavimentação urbana (0,20–0,33 t/m²) cobre só recapeamento de pista simples. O fator foi substituído por uma banda derivada camada a camada das COMPOSIÇÕES OFICIAIS DER-ES/LABOR-UFES e SINAPI-ES (colchão de pó de 10 cm, blocos, base de BGS, meio-fio, sarjeta, calçada, drenagem): 0,73–0,93 t/m² de agregados, dos quais 0,62–0,78 t/m² de produtos de britagem. Efeito duplo e simétrico: os AGREGADOS TOTAIS de Guriri caem (490–560 → 256–374 mil t), mas os PRODUTOS DE BRITAGEM — o que a CIPREM vende — sobem (206–235 → 219–312 mil t na malha completa; 75–90 → 78–117 mil t no remanescente incorporado), porque em intertravado sobre areia praticamente todo agregado comprado é produto de pedreira, e a participação nacional de 42% subestimava isso. A reconstrução obra a obra pelas composições soma 723–951 mil t — o teto da faixa publicada (700–950) coincide, e o piso publicado é ~3% mais conservador que o composicional. O share incorporado ficava, então, em pouco mais de um terço (35,7%–37,5%) — leitura da época, derrubada pelo inventário medido para cerca de um décimo (ver a nota do inventário), a camada estrutural do exhibit passa de 12–15 para 13–19 mil t/ano (anos 5–10), e a checagem ANEPAC do índice per capita foi precisada: a série regional traz 4,1 t/hab/ano para SUL E SUDESTE (não “Sudeste” isolado) — a demanda corrente, porém, nunca dependeu dela: vem do RAL/ANM. Nenhum outro número do pacote se move.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Ficava pendente, então, o inventário rua a rua medido — pendência ENCERRADA nas rodadas seguintes: o levantamento está feito e auditado ponto a ponto (ver a nota do inventário), e a planilha Levantamento_Guriri.xlsx passou a ser a camada de conversão em toneladas sobre o levantamento do cliente.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