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São Mateus sede + Guriri — concorrente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40,7 km × Usibrita 57,1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+14,9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Nesta versão entraram as duas últimas linhas que faltavam: a coordenada da cava da Usibrita (-18,873416, -40,198803), a 57,1 km da sede de São Mateus, e a distância da jazida ao distrito-sede de Nestor Gomes, 12,3 km. A medição da Usibrita também passa no teste de sanidade (linha reta de 39,8 km; razão 1,43) e corrobora, por triangulação, os ~8 km entre ela e a sede de Jaguaré. A régua lista praças de mercado — os municípios do raio, pela respectiva sede. Localidades internas a São Mateus, como o distrito de Nestor Gomes onde está a jazida, não recebem linha própria: estão cobertas pela linha do município, cuja população já as inclui. Permanecem estimadas apenas as distâncias internas dos concorrentes às suas próprias sedes.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produtor mais próximo de São Mateus é a Usibrita, e a medição de ago/2026 mostra que ela chega à praça de 57,1 km contra 40,7 km da CIPREM: mesmo sendo o concorrente mais próximo de qualquer porte, fica R$ 14,9/t atrás no frete. A versão anterior deste estudo, apoiada em estimativa de ~40 km, declarava empate técnico nessa linha — a medição desfaz o empate em favor da CIPREM. A Usibrita segue importando como referência de preço da praça, e não como disputante de volume: vendeu cerca de 5 mil t em 2025 (item 6.1), menos de um quinto da demanda do próprio município de Jaguaré, onde está instalada. Quem limita volume são os produtores de porte: a Mattar, a 66,8 km, contra a qual a vantagem é de R$ 23,8/t, e a MCL, a 75,5 km, contra a qual chega a R$ 31,7/t — de um quarto a um terço do preço posto na obra. Adota-se a vantagem sobre a Mattar (R$ 23,8/t) como número de referência por ser o concorrente de volume mais próximo — hipótese menos favorável à CIPREM. A leitura prática: a CIPREM produz mais perto de São Mateus do que qualquer concorrente, de qualquer porte, e a margem sobre o mais próximo deles é de 16,4 km, ou R$ 14,9/t.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57,1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produtor mais próximo da sede, a 57,1 km (medidos a partir da coordenada da cava),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a distância já adotada para a praça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Mineração Usibrita — Grupo Colombi (mesmo ramo da MCL), Jaguaré (57,1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57,1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Sul e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(70–100 mil t/ano) — o mercado endereçável situa-se entre 421 e 577 mil t/ano, faixa inalterada em relação à versão anterior: a entrada de Boa Esperança na base apenas realoca uma camada, sem criar mercado novo. Pedro Canário e a franja norte permanecem fora: há vazio de oferta local, mas a desvantagem de frete de R$ 28 a 35/t não é compensável, e o estudo lhes atribui peso zero. É contra a faixa de 421–577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>São Mateus vive um ciclo atípico de investimentos (mais de R$ 1 bilhão em obras estaduais em andamento). Para cada obra foram levantados, quando públicos, a empresa executora (cliente-alvo direto) e a quantidade contratada, com o consumo de agregado estimado por dois referenciais, cada um no seu lugar: o fator setorial da ANEPAC para rodovias (1 km ≈ 9.800 t — tabela apresentada ao Senado em 2009 e reproduzida pelo CETEM), validado por composições oficiais (banda de 6,1–11,0 mil t/km); e, para pavimentação urbana completa, a banda composicional de 0,73–0,93 t/m² derivada camada a camada das tabelas oficiais DER-ES/SINAPI-ES — memória de cálculo anexa, Anexos B e 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anos; a Bacia 1, contratada por 1.620 dias, avança até ~2031).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Jaguaré, a 57,1 km da sede (item 6.1). A demanda só das obras públicas catalogadas é da ordem de 70 a 100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41–56% do mercado endereçável de 421–577 mil t/ano (item 6.2). Pela via de baixo para cima, a captura ponderada pelos pesos de penetração do item 8 resulta em 207 a 245 mil t/ano, faixa em que o platô se posiciona a 81%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421–577 mil t/ano, o ciclo extraordinário de obras públicas e o crescimento populacional de 13,5% na década, projeta-se demanda regional sustentada por agregados ao longo de todo o horizonte do financiamento. O pareamento com o serviço da dívida fecha a conta pelos 14 anos (memória de cálculo anexa): pelo SAC, a produção que quita as parcelas com folga (DSCR 1,3) cai de ~210 mil t/ano no pico (ano 3) para ~139 mil no ano 14, e o mínimo (DSCR 1,0), de ~174 para ~122 mil; a captura recorrente SEM nenhuma obra — apenas os pesos do item 8 sobre a demanda corrente — é de 165 a 185 mil t/ano, cobrindo o mínimo sozinha a partir do ano 6, enquanto os anos 3–5, de maior exigência, são exatamente os anos da janela de obras (70–100 mil t/ano adicionais contratados).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207 a 245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rPr>
          <w:b w:val="0"/>
        </w:rPr>
        <w:t>Guriri é um balneário formado por 21 loteamentos, com cerca de 8 km de extensão norte-sul, historicamente com vias precárias e sujeitas a alagamento. O levantamento de 19/08/2026 mediu as 437 vias dos 21 loteamentos sobre as plantas e a planilha oficial de loteamentos da Prefeitura, e estabeleceu a situação de pavimentação por auditoria de 637 pontos, verificados um a um em campo virtual, classificando a superfície da pista (asfalto e bloquete = pavimentada; saibro e areia = não). A planilha reconciliada de 19/08/2026 lista os 637 pontos individualmente, com coordenada, fonte e data de imagem — 517 no Google Street View e 120 em satélite, onde não há cobertura —, dos quais 496 sustentam individualmente a linha de uma via nomeada e 141 alimentam a taxa agregada do loteamento, por terem caído sobre traçado existente em via sem nome correspondente na planta: são 193.375 m de vias (193,4 km), dos quais apenas 51.379 m (26,6%) estão pavimentados. Esse inventário substitui a estimativa por grade das versões anteriores (40 a 48 km / 350 a 400 mil m²), que subestimava a malha em 4,0 a 4,8 vezes. O plano-mestre de macrodrenagem e pavimentação, dividido em três bacias, ataca essa carência por partes: a Bacia 1 tem 13,5 km de galerias e ~125 mil m² de pavimentação contratados (9,26 m de largura média por metro linear) e a Bacia 2, até 10,6 km de galerias.</w:t>
      </w:r>
    </w:p>
    <w:p>
      <w:pPr>
        <w:spacing w:after="140" w:line="276"/>
        <w:jc w:val="both"/>
      </w:pPr>
      <w:r>
        <w:rPr>
          <w:b w:val="0"/>
        </w:rPr>
        <w:t>Falta pavimentar 141.996 m de pista — 1.216.547 m², área calculada via a via pela CAIXA DE VIA registrada no quadro de cada planta de loteamento — mais 554.203 m² de calçada em vias já abertas. Pela premissa anterior de 8 m de largura única, a pista dava 1.135.968 m²; as duas leituras seguem publicadas, e a de 8 m permanece como piso. Pela banda composicional oficial (DER-ES/SINAPI; 0,661 a 0,861 t/m² na pista e 0,126 a 0,175 t/m² na calçada — memória de cálculo anexa), isso representa 874 a 1.144 mil t de agregados, das quais 751 a 951 mil t são produtos de britagem (704–892 mil t pelo piso de 8 m). O levantamento separa ainda o que está medido do que é apenas projeto: 136.394 m de via (70,5% da malha) têm traçado medido sobre imagem e 56.979 m são vias previstas em planta, cuja existência física deve ser confirmada em campo — descontadas integralmente estas últimas, o que falta pavimentar em via medida ainda representa 446 a 561 mil t de produtos de britagem. Três leituras: as Bacias 1 e 2 cobrem cerca de 250 mil m², ou 20,5% da pista que falta (14,1% se contada a calçada; 10,3% considerando contrato assinado apenas a Bacia 1), restando 966.547 m² de pista sem contrato (566 a 713 mil t de britagem); ao ritmo contratual do próprio Estado — 125 mil m² em 1.620 dias, ou 28,4 mil m²/ano —, concluir só a pista de Guriri levaria 43 anos com uma bacia por vez e 21 anos com duas simultâneas, contra os 14 anos do financiamento; e o total equivale a 3,2 a 4,0 anos de produção integral da CIPREM no platô. As projeções do empreendimento seguem incorporando apenas 78 a 117 mil t desse potencial — cerca de um décimo do inventário completo (8% a 16%) e 14% a 26% da base estritamente medida —, escoados nos anos 5 a 10 (~13 a 19 mil t/ano). A isso se soma o fluxo contínuo de novos loteamentos — verificados em ago/2026: Soma Vibe (Soma Urbanismo, entrega prevista 2029), Mar Aberto (Guriri Sul), Verão Vermelho e Bosque; o "Portal do Ribeirão" citado em versão anterior não foi confirmado em São Mateus e saiu da lista —,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 — um só município, contado uma única vez na demanda do item 6 — é onde a CIPREM produz mais perto que qualquer concorrente, de qualquer porte, e onde estão o grosso da demanda e as obras. A vantagem sobre o concorrente de volume mais próximo (Mattar, 66,8 km) é de R$ 23,8/t, chegando a R$ 31,7/t contra a MCL (75,5 km); mesmo contra o produtor mais próximo de todos, a Usibrita (57,1 km), a margem é de R$ 14,9/t. Dentro do município há ainda um gradiente de margem que orienta a prioridade comercial, sem constituir mercado adicional: entregar junto à cava custa R$ 11,2/t de frete (12,3 km até o distrito-sede de Nestor Gomes, medidos) contra R$ 37,0/t até a sede municipal — a mesma tonelada rende mais quanto mais perto for vendida.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207 a 245 mil t/ano — faixa inalterada, já que Boa Esperança apenas mudou de camada e manteve o mesmo peso.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421–577 mil t/ano somadas a praça disputada de Jaguaré, as praças alcançáveis por CIF e as obras — contra o qual o platô de 237,5 mil t/ano representa 41 a 56%; (ii) um ciclo extraordinário de obras públicas (&gt;R$ 1 bilhão) que adiciona 70–100 mil t/ano de brita durante a janela de construção, além do potencial medido e auditado de Guriri — 1.216.547 m² de pista e 554.203 m² de calçada por pavimentar, ou 874–1.144 mil t de agregados, dos quais 751–951 mil t de produtos de britagem (704–892 pelo piso de largura declarado) —, do qual as projeções incorporam apenas 78–117 mil t, cerca de um décimo; (iii) vantagem logística estrutural e medida em roteirizador — R$ 23,8/t sobre o concorrente de volume mais próximo na sede, R$ 31,7/t sobre a MCL e R$ 14,9/t mesmo sobre o produtor mais próximo de todos, em produto cujo preço posto é dominado pelo frete; (iv) concorrência em que nem o produtor mais próximo alcança a CIPREM no frete — a Usibrita chega a São Mateus de 57,1 km contra 40,7 km, R$ 14,9/t atrás — e que, além disso, não tem escala para disputar volume, com falhas de atendimento exploráveis; e (v) respaldo de um grupo cuja unidade em operação já pratica, em 2025, volume 0,5% superior ao platô aqui projetado. A captura ponderada por praça resulta em 207–245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e refino final da régua. </w:t>
      </w:r>
      <w:r>
        <w:rPr>
          <w:b w:val="0"/>
        </w:rPr>
        <w:t>Resolvidas nesta versão as três divergências que restavam. A da MCL: o estudo adotava 62 km até a sede de São Mateus por ser a hipótese menos favorável à CIPREM, enquanto o teste de coordenadas indicava ~74 km; a medição deu 75,5 km, confirmando o teste. A da Usibrita: a coordenada da cava (-18,873416, -40,198803) situa-a a 57,1 km da sede — e não aos ~40 km antes estimados —, o que converte a única linha de paridade da régua em vantagem de R$ 14,9/t para a CIPREM e confirma, por triangulação, os ~8 km entre a Usibrita e a sede de Jaguaré. A de Nestor Gomes: o distrito-sede está a 12,3 km da jazida, medidos — valor que passou a servir à leitura de margem interna do item 8, e não à régua competitiva, da qual a linha do corredor foi retirada por ser localidade do próprio município de São Mateus, já contado uma vez. Com isso a régua do item 4 repousa inteiramente em distâncias medidas ponta a ponta, salvo as internas dos concorrentes às próprias sedes. Seguem pendentes, para refino e não para o argumento,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