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foi levantada sobre as plantas dos 21 loteamentos e auditada em 637 pontos verificados um a um em campo virtual (517 em Street View e 120 em satélite), todos listados individualmente com coordenada e data de imagem: 193,4 km em 437 vias, das quais apenas 26,6% pavimentadas. Faltam 1.216.547 m² de pista — área pela caixa de via de cada planta — e 554.203 m² de calçada — 874–1.144 mil t de agregados, dos quais 751–951 mil t de produtos de britagem, pela banda composicional das tabelas oficiais DER-ES/SINAPI (memória anexa; 704–892 mil t pelo piso de largura declarado) —, espalhados por cerca de uma década pela própria lógica construtiva (pavimenta-se depois de drenar, bacia a bacia; a Bacia 1 corre por 1.620 dias), estoque do qual as projeções de receita NÃO contabilizam nenhuma tonelada, e ao qual esta carta deliberadamente não atribui volume anual nem prazo — o ritmo depende de decisão orçamentária do Estado e do Município; o que se afirma é a existência e a magnitude, equivalentes a 3,2 a 4,0 anos de produção integral da unidade no platô — e as Bacias 1 e 2 cobrem só 20,5% da pista que falta, restando 43 anos de pavimentação ao ritmo contratual do Estado (21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