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empreendimento compreende planta de britagem de 170–180 toneladas/hora — britadores Metso (mandíbulas C117 e cônico HP350e) — com produção estimada crescente: de ~3.500 m³/mês de produto no 1º ano de operação até ~13.200 m³/mês a partir do 3º ano, amparado pelo Registro de Licença ANM nº 8/2021 (validade até 31/08/2029) e pela Licença de Instalação IEMA nº 000478/2025-D (válida até 16/10/2029).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platô de regime corresponde a 7.200 m³ in situ/mês — 19.793 t/mês ou 237.516 t/ano pela densidade de 2,749 t/m³ do PAE —, equivalentes a 90% do volume licenciado e a 40% da capacidade instalada declarada no PAE (50.000 t/mês). Mesmo se a licença fosse integralmente esgotada, a planta operaria a 44% do que comporta: o limite do empreendimento é legal, não mecânico, e nenhum cenário deste pleito prevê produção acima do volume licenciado. Essa folga tem função operacional definida — como a licença limita o volume do mês e não o ritmo do dia, os dias de lavra perdidos para chuva são recompostos estendendo a jornada nos dias restantes, sem alterar o volume mensal. Como referência de exequibilidade, o platô proposto está 0,5% acima das 236.280 t de rocha que a unidade do grupo em Porto Seguro/BA desmontou em 2025.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proofErr w:type="spellStart"/>
      <w:proofErr w:type="spellEnd"/>
      <w:r>
        <w:rPr>
          <w:b w:val="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é deliberadamente conservador: restringe-se a São Mateus e Conceição da Barra (163.346 habitantes — IBGE, estimativas 2025), municípios onde não há nenhum produtor de brita instalado. A demanda corrente nesse mercado-base é estimada em cerca de 273 mil t/ano, pelo consumo efetivo de brita no Espírito Santo apurado nas vendas declaradas à ANM (RAL, dado 2025): 6.888.010,58 t ÷ 4.126.854 hab = 1,669 t/hab/ano — índice convergente com o parâmetro setorial da ANEPAC —, aplicado diretamente à população de 2025 da área; por prudência, aplicar metade do índice a Conceição da Barra ainda resulta em ~249 mil t/ano, acima do platô do projeto. As praças vizinhas de Jaguaré e Boa Esperança (~46 mil habitantes; 38–76 mil t/ano) foram mantidas fora da linha de base — a primeira por ter um pequeno produtor instalado, a segunda por gravitar comercialmente para Nova Venécia — e permanecem, com Pedro Canário e a franja norte do Estado (Montanha, Mucurici e Ponto Belo, ~53 mil habitantes sem nenhum produtor de brita instalado), como potencial adicional de captura, não contado nas projeções.</w:t>
      </w:r>
    </w:p>
    <w:p w14:paraId="74720E32" w14:textId="77777777" w:rsidR="00326C65" w:rsidRDefault="00000000">
      <w:pPr>
        <w:spacing w:after="160" w:line="276" w:lineRule="auto"/>
        <w:jc w:val="both"/>
      </w:pPr>
      <w:r>
        <w:t>A oferta instalada confirma a lacuna: não há nenhum produtor de brita no mercado-base — em São Mateus, a presença concorrente limita-se a um pátio de beneficiamento e distribuição de pedreira sediada em Pinheiros (~70 km), e a operação mais próxima, de pequena escala (~5 mil t em 2025 pela base de arrecadação da CFEM — ANM, granito/ES), fica em Jaguaré (~40 km da sede), fora do mercado-base. Cabe distinguir duas funções que os documentos anteriores tratavam como uma só: essa operação de Jaguaré é concorrente de preço — está 5 km mais longe da sede que a CIPREM, margem de R$ 4,5/t — mas vendeu menos de um quinto da demanda do próprio município onde se instala, e não tem escala para disputar volume. Quem limita volume é a pedreira de Nova Venécia, a ~62 km, contra a qual a vantagem de frete da CIPREM é de R$ 24,6 por tonelada — da ordem de um quarto do preço posto na obra. Os demais produtores de porte operam mais longe ainda: o maior da região a ~100 km (unidade em Rio Bananal, ~360 mil t/ano) e parte do suprimento vindo do eixo Linhares–Aracruz (85–140 km). A jazida da CIPREM está a ~35 km da sede de São Mateus, e o corredor de Nestor Gomes que a serve fica a 10 km ou menos, onde a vantagem chega a R$ 31,9/t: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(R$ 190,2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representa da ordem de 1 milhão de m² de vias — acima de 1 milhão de toneladas de agregados ao longo dos próximos anos, das quais as projeções contabilizam, conservadoramente, apenas 75–90 mil t.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>
      <w:pPr>
        <w:spacing w:after="160"/>
        <w:jc w:val="both"/>
      </w:pPr>
      <w:r>
        <w:rPr>
          <w:b w:val="0"/>
        </w:rPr>
        <w:t>Em síntese: sob a definição mais conservadora de mercado — linha de base restrita a São Mateus e Conceição da Barra —, a demanda corrente de cerca de 273 mil t/ano (piso prudente: 249 mil) já supera o platô do projeto. A leitura correta da participação, porém, não é contra essa linha de base e sim contra o mercado efetivamente endereçável, que soma às duas praças-base as praças disputadas de Jaguaré e Boa Esperança (38–76 mil t/ano), as praças alcançáveis por entrega própria em Nova Venécia e Pinheiros (64–129 mil t/ano) e as obras públicas catalogadas (70–100 mil t/ano): 421 a 577 mil t/ano. Contra essa base, o platô de 237.516 t/ano representa 41 a 56% — participação compatível com um entrante que é o único produtor instalado no seu mercado-base. Pela via de baixo para cima, aplicando pesos de penetração praça a praça — 65% em São Mateus, 25% em Conceição da Barra, 20% em Jaguaré, 15% em Boa Esperança, 10% nas praças-sede de concorrente e 60% nas obras públicas —, a captura resulta em 207 a 245 mil t/ano, faixa na qual o platô se posiciona a 81%. Registre-se com clareza a condição dessa conta: a sede sozinha não sustenta o platô, e a diferença vem das praças vizinhas, onde a CIPREM perde no frete FOB e só entra entregando com frota própria — programa já orçado no investimento (dois conjuntos de carreta) e praticado pela unidade do grupo na Bahia, que converte R$ 74/t na porteira em R$ 116/t médios realizados. Um mercado estruturalmente deficitário — sem nenhum produtor instalado na base, com o grosso do suprimento viajando 60 a 140 km — completa um quadro de baixo risco de demanda para o financiamento pleiteado.</w:t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