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>— foi delimitado de forma deliberadamente conservadora: restringe-se a São Mateus e Conceição da Barra, que somam 163.346 habitantes (IBGE, estimativas 2025),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273 mil toneladas/ano. A estimativa aplica diretamente à população da área (163.346 hab)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Barra, município de perfil rural-litorâneo, a estimativa recua a ~249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As praças vizinhas de Jaguaré e Boa Esperança (~46 mil habitantes; </w:t>
      </w:r>
      <w:r>
        <w:rPr>
          <w:color w:val="C00000"/>
        </w:rPr>
        <w:t>38–76 mil t/ano pela mesma métrica, de metade a pleno do índice</w:t>
      </w:r>
      <w:r>
        <w:rPr>
          <w:color w:val="000000"/>
        </w:rPr>
        <w:t>) foram mantidas fora da linha de base — a primeira por ter produtor instalado, a segunda por gravitar comercialmente para Nova Venécia — e permanecem,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 xml:space="preserve">A oferta instalada confirma a lacuna: </w:t>
      </w:r>
      <w:r>
        <w:rPr>
          <w:color w:val="C00000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 — a extração, naquele município, corre pela Mattar Empreendimentos Minerários. A operação de britagem mais próxima é a Mineração Usibrita, em Jaguaré (~40 km da sede), ainda em escala reduzida e situada fora do mercado-base. </w:t>
      </w:r>
      <w:r>
        <w:rPr>
          <w:color w:val="C00000"/>
        </w:rPr>
        <w:t xml:space="preserve">Cabe distinguir duas funções que a redação anterior tratava como uma só: a Usibrita é concorrente de preço — está 5 km mais longe da sede que a CIPREM, margem de R$ 4,5/t —, mas vendeu ~5 mil t em 2025, menos de um quinto da demanda do próprio município onde se instala, e não tem escala para disputar volume. Quem limita volume é a MCL, em Nova Venécia, a ~62 km, contra a qual a vantagem de frete da CIPREM é de R$ 24,6 por tonelada — da ordem de um quarto do preço posto na obra. </w:t>
      </w:r>
      <w:r>
        <w:rPr>
          <w:color w:val="C00000"/>
        </w:rPr>
        <w:t>Os produtores de porte operam a partir de ~65 km — Nova Venécia e Pinheiros — e o maior deles a cerca de 100 km, em Rio Bananal</w:t>
      </w:r>
      <w:r>
        <w:rPr>
          <w:color w:val="000000"/>
        </w:rPr>
        <w:t xml:space="preserve">, com parte do suprimento vindo do eixo Linhares–Aracruz (85–140 km). A jazida da CIPREM está a ~35 km da sede de São Mateus, e o corredor de Nestor Gomes que a serve fica a </w:t>
      </w:r>
      <w:r>
        <w:rPr>
          <w:color w:val="C00000"/>
        </w:rPr>
        <w:t>10 km ou menos, onde a vantagem de frete alcança R$ 31,9/t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mais conservadora de mercado — linha de base restrita a São Mateus e Conceição da Barra —, a demanda corrente de cerca de 273 mil t/ano (piso prudente: 249 mil) já supera o platô do projeto. A leitura correta da participação, porém, não é contra essa linha de base e sim contra o mercado efetivamente endereçável, que soma às duas praças-base as praças disputadas de Jaguaré e Boa Esperança (38–76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87 a 96%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perde no frete FOB e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60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273 mil t/ano do mercado-base de dois municípios (índice exato 1,669 × 163.346 hab; piso prudente ~249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conservador de São Mateus + Conceição da Barra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Reduzido ao mercado-base de São Mateus e Conceição da Barra (163.346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(87–96%).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Usibrita ancora preço (R$ 4,5/t, sem escala); MCL define volume (R$ 24,6/t de vantagem para a CIPREM).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