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6291C" w14:textId="77777777" w:rsidR="00326C65" w:rsidRDefault="00000000">
      <w:pPr>
        <w:spacing w:after="120"/>
        <w:jc w:val="center"/>
      </w:pPr>
      <w:r>
        <w:rPr>
          <w:b/>
          <w:bCs/>
          <w:sz w:val="28"/>
          <w:szCs w:val="28"/>
        </w:rPr>
        <w:t>CARTA CONSULTA – PROPOSTA DE NEGOCIAÇÃO</w:t>
      </w:r>
    </w:p>
    <w:p w14:paraId="5473CF72" w14:textId="3555E6C7" w:rsidR="00326C65" w:rsidRDefault="00000000">
      <w:pPr>
        <w:spacing w:after="60"/>
        <w:jc w:val="center"/>
      </w:pPr>
      <w:r>
        <w:rPr>
          <w:i/>
          <w:iCs/>
          <w:color w:val="C00000"/>
          <w:sz w:val="18"/>
          <w:szCs w:val="18"/>
        </w:rPr>
        <w:t>MINUTA PARA A AGÊNCIA —</w:t>
      </w:r>
      <w:r w:rsidR="006C41C6">
        <w:rPr>
          <w:i/>
          <w:iCs/>
          <w:color w:val="C00000"/>
          <w:sz w:val="18"/>
          <w:szCs w:val="18"/>
        </w:rPr>
        <w:t>C</w:t>
      </w:r>
      <w:r>
        <w:rPr>
          <w:i/>
          <w:iCs/>
          <w:color w:val="C00000"/>
          <w:sz w:val="18"/>
          <w:szCs w:val="18"/>
        </w:rPr>
        <w:t>ampos [ENTRE COLCHETES] a preencher/conferir</w:t>
      </w:r>
    </w:p>
    <w:p w14:paraId="30BF458A" w14:textId="77777777" w:rsidR="006C41C6" w:rsidRDefault="006C41C6">
      <w:pPr>
        <w:spacing w:after="60"/>
        <w:rPr>
          <w:b/>
          <w:bCs/>
          <w:sz w:val="24"/>
          <w:szCs w:val="24"/>
        </w:rPr>
      </w:pPr>
    </w:p>
    <w:p w14:paraId="79EA22B3" w14:textId="3B832215" w:rsidR="00326C65" w:rsidRDefault="00000000">
      <w:pPr>
        <w:spacing w:after="60"/>
      </w:pPr>
      <w:r>
        <w:rPr>
          <w:b/>
          <w:bCs/>
          <w:sz w:val="24"/>
          <w:szCs w:val="24"/>
        </w:rPr>
        <w:t>CLIENTE</w:t>
      </w:r>
    </w:p>
    <w:p w14:paraId="26422883" w14:textId="77777777" w:rsidR="00326C65" w:rsidRDefault="00000000">
      <w:pPr>
        <w:spacing w:after="160" w:line="276" w:lineRule="auto"/>
        <w:jc w:val="both"/>
      </w:pPr>
      <w:r>
        <w:rPr>
          <w:b/>
          <w:bCs/>
        </w:rPr>
        <w:t xml:space="preserve">CIPREM – Cimento e </w:t>
      </w:r>
      <w:proofErr w:type="spellStart"/>
      <w:r>
        <w:rPr>
          <w:b/>
          <w:bCs/>
        </w:rPr>
        <w:t>Premoldados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Ltda</w:t>
      </w:r>
      <w:r>
        <w:t xml:space="preserve">  ·</w:t>
      </w:r>
      <w:proofErr w:type="gramEnd"/>
      <w:r>
        <w:t xml:space="preserve">  CNPJ: 05.343.456/0001-78</w:t>
      </w:r>
    </w:p>
    <w:p w14:paraId="5318EA41" w14:textId="77777777" w:rsidR="00326C65" w:rsidRPr="006C41C6" w:rsidRDefault="00000000">
      <w:pPr>
        <w:spacing w:before="320" w:after="200"/>
      </w:pPr>
      <w:r w:rsidRPr="006C41C6">
        <w:rPr>
          <w:b/>
          <w:bCs/>
          <w:sz w:val="26"/>
          <w:szCs w:val="26"/>
        </w:rPr>
        <w:t>1. PERFIL DO PROPONENTE</w:t>
      </w:r>
    </w:p>
    <w:p w14:paraId="7DDF9015" w14:textId="35D26845" w:rsidR="00326C65" w:rsidRDefault="00000000">
      <w:pPr>
        <w:spacing w:after="160" w:line="276" w:lineRule="auto"/>
        <w:jc w:val="both"/>
      </w:pPr>
      <w:r>
        <w:t xml:space="preserve">A CIPREM – Cimento e </w:t>
      </w:r>
      <w:proofErr w:type="spellStart"/>
      <w:r>
        <w:t>Premoldados</w:t>
      </w:r>
      <w:proofErr w:type="spellEnd"/>
      <w:r>
        <w:t xml:space="preserve"> Ltda é sociedade limitada constituída em 09/10/2002, com sede em São Mateus/ES, integrante do grupo empresarial da família Colombi — grupo com </w:t>
      </w:r>
      <w:r>
        <w:rPr>
          <w:color w:val="C00000"/>
        </w:rPr>
        <w:t xml:space="preserve">mais de 20 anos de atuação</w:t>
      </w:r>
      <w:r>
        <w:t xml:space="preserve"> em mineração, britagem e concreto, com operações na Bahia, em Minas Gerais e no Espírito Santo.</w:t>
      </w:r>
      <w:r w:rsidR="006C41C6" w:rsidRPr="006C41C6">
        <w:t/>
      </w:r>
      <w:r w:rsidRPr="006C41C6">
        <w:t/>
      </w:r>
      <w:r>
        <w:t xml:space="preserve"/>
      </w:r>
    </w:p>
    <w:p w14:paraId="04A778FB" w14:textId="546232C6" w:rsidR="00326C65" w:rsidRPr="00C3733B" w:rsidRDefault="00000000">
      <w:pPr>
        <w:spacing w:after="160" w:line="276" w:lineRule="auto"/>
        <w:jc w:val="both"/>
      </w:pPr>
      <w:r>
        <w:t xml:space="preserve">A empresa âncora, Mineração São Vicente Ltda (Itagimirim/BA, fundada em 2004), posiciona-se como a maior e mais tradicional produtora de agregados do Extremo Sul Baiano, </w:t>
      </w:r>
      <w:r w:rsidRPr="00C3733B">
        <w:t xml:space="preserve"/>
      </w:r>
      <w:r>
        <w:rPr>
          <w:color w:val="C00000"/>
        </w:rPr>
        <w:t xml:space="preserve">e opera pedreira histórica da região, aberta na década de 1970 para a construção da BR-101.</w:t>
      </w:r>
      <w:r w:rsidRPr="00C3733B">
        <w:t xml:space="preserve"> </w:t>
      </w:r>
      <w:r w:rsidRPr="00C3733B">
        <w:rPr>
          <w:color w:val="EE0000"/>
        </w:rPr>
        <w:t/>
      </w:r>
      <w:r w:rsidRPr="00C3733B">
        <w:t xml:space="preserve"/>
      </w:r>
      <w:r w:rsidR="00C3733B" w:rsidRPr="00C3733B">
        <w:t>O</w:t>
      </w:r>
      <w:r w:rsidRPr="00C3733B">
        <w:t xml:space="preserve"> grupo reúne 6 empresas ativas e cerca de 16 estabelecimentos em mais de 10 municípios da Bahia e de Minas Gerais — todos em área de atuação do FNE/SUDENE —, em cadeia verticalizada da extração ao concreto usinado </w:t>
      </w:r>
      <w:r w:rsidRPr="00C3733B">
        <w:rPr>
          <w:highlight w:val="yellow"/>
        </w:rPr>
        <w:t>e às obras rodoviárias</w:t>
      </w:r>
      <w:r w:rsidRPr="00C3733B">
        <w:t xml:space="preserve">. O grupo mantém </w:t>
      </w:r>
      <w:r w:rsidR="00C3733B" w:rsidRPr="00C3733B">
        <w:t xml:space="preserve">várias </w:t>
      </w:r>
      <w:r w:rsidRPr="00C3733B">
        <w:t>pedreira</w:t>
      </w:r>
      <w:r w:rsidR="00C3733B" w:rsidRPr="00C3733B">
        <w:t>s</w:t>
      </w:r>
      <w:r w:rsidRPr="00C3733B">
        <w:t xml:space="preserve"> de </w:t>
      </w:r>
      <w:r w:rsidR="00C3733B" w:rsidRPr="00C3733B">
        <w:t>britagem</w:t>
      </w:r>
      <w:r w:rsidRPr="00C3733B">
        <w:t xml:space="preserve"> em plena atividade com o mesmo processo produtivo e o mesmo portfólio de produtos do empreendimento proposto.</w:t>
      </w:r>
    </w:p>
    <w:p w14:paraId="27D8F8B2" w14:textId="46C4FA7F" w:rsidR="00326C65" w:rsidRPr="00C3733B" w:rsidRDefault="00000000">
      <w:pPr>
        <w:spacing w:after="160" w:line="276" w:lineRule="auto"/>
        <w:jc w:val="both"/>
      </w:pPr>
      <w:r w:rsidRPr="00C3733B">
        <w:t xml:space="preserve">As unidades de britagem do grupo operam com britadores METSO e laboratório próprio de controle tecnológico — exatamente a tecnologia especificada no projeto da CIPREM (britadores Metso C117 e HP350e). Essa experiência em atividade idêntica à do projeto evidencia a capacidade técnica e gerencial do grupo e reduz os riscos de implantação e de </w:t>
      </w:r>
      <w:r w:rsidR="00C3733B" w:rsidRPr="00C3733B">
        <w:t>maturação</w:t>
      </w:r>
      <w:r w:rsidRPr="00C3733B">
        <w:t xml:space="preserve"> do empreendimento.</w:t>
      </w:r>
    </w:p>
    <w:p w14:paraId="49C99164" w14:textId="77777777" w:rsidR="00326C65" w:rsidRPr="00C3733B" w:rsidRDefault="00000000">
      <w:pPr>
        <w:spacing w:before="320" w:after="200"/>
      </w:pPr>
      <w:r w:rsidRPr="00C3733B">
        <w:rPr>
          <w:b/>
          <w:bCs/>
          <w:sz w:val="26"/>
          <w:szCs w:val="26"/>
        </w:rPr>
        <w:t>2. PROPOSIÇÃO</w:t>
      </w:r>
    </w:p>
    <w:p w14:paraId="54DB832B" w14:textId="074203B7" w:rsidR="00326C65" w:rsidRDefault="00000000">
      <w:pPr>
        <w:spacing w:after="160" w:line="276" w:lineRule="auto"/>
        <w:jc w:val="both"/>
      </w:pPr>
      <w:r>
        <w:t xml:space="preserve">A presente proposta tem por objeto a contratação de financiamento junto ao Fundo Constitucional de Financiamento do Nordeste (FNE) destinado à implantação de pedreira de granito com planta de britagem para produção de agregados </w:t>
      </w:r>
      <w:r w:rsidRPr="00C3733B">
        <w:t>(</w:t>
      </w:r>
      <w:r w:rsidR="00C3733B" w:rsidRPr="00C3733B">
        <w:t>B</w:t>
      </w:r>
      <w:r w:rsidRPr="00C3733B">
        <w:t xml:space="preserve">rita 0, </w:t>
      </w:r>
      <w:proofErr w:type="gramStart"/>
      <w:r w:rsidR="00C3733B" w:rsidRPr="00C3733B">
        <w:t>B</w:t>
      </w:r>
      <w:r w:rsidRPr="00C3733B">
        <w:t>rita</w:t>
      </w:r>
      <w:proofErr w:type="gramEnd"/>
      <w:r w:rsidRPr="00C3733B">
        <w:t xml:space="preserve"> 1, </w:t>
      </w:r>
      <w:proofErr w:type="gramStart"/>
      <w:r w:rsidR="00C3733B" w:rsidRPr="00C3733B">
        <w:t>B</w:t>
      </w:r>
      <w:r w:rsidRPr="00C3733B">
        <w:t>rita</w:t>
      </w:r>
      <w:proofErr w:type="gramEnd"/>
      <w:r w:rsidRPr="00C3733B">
        <w:t xml:space="preserve"> 2, </w:t>
      </w:r>
      <w:proofErr w:type="spellStart"/>
      <w:r w:rsidR="00C3733B" w:rsidRPr="00C3733B">
        <w:t>G</w:t>
      </w:r>
      <w:r w:rsidRPr="00C3733B">
        <w:t>ravilinha</w:t>
      </w:r>
      <w:proofErr w:type="spellEnd"/>
      <w:r w:rsidRPr="00C3733B">
        <w:t xml:space="preserve">, </w:t>
      </w:r>
      <w:r w:rsidR="00C3733B" w:rsidRPr="00C3733B">
        <w:t>P</w:t>
      </w:r>
      <w:r w:rsidRPr="00C3733B">
        <w:t>ó de pedra e BGS/</w:t>
      </w:r>
      <w:r w:rsidR="00C3733B" w:rsidRPr="00C3733B">
        <w:t>S</w:t>
      </w:r>
      <w:r w:rsidRPr="00C3733B">
        <w:t>olo-brita), no distrito de Nestor Gome</w:t>
      </w:r>
      <w:r>
        <w:t>s, município de São Mateus/ES.</w:t>
      </w:r>
    </w:p>
    <w:p w14:paraId="0443DA4C" w14:textId="77777777" w:rsidR="00326C65" w:rsidRPr="00C3733B" w:rsidRDefault="00000000">
      <w:pPr>
        <w:spacing w:after="160" w:line="276" w:lineRule="auto"/>
        <w:jc w:val="both"/>
        <w:rPr>
          <w:color w:val="EE0000"/>
        </w:rPr>
      </w:pPr>
      <w:r w:rsidRPr="00C3733B">
        <w:rPr>
          <w:color w:val="EE0000"/>
        </w:rPr>
        <w:t>O empreendimento compreende planta de britagem de 170–180 toneladas/hora — britadores Metso (mandíbulas C117 e cônico HP350e) — com produção estimada crescente: de ~3.500 m³/mês de produto no 1º ano de operação até ~12.000 m³/mês a partir do 3º ano, dentro do teto licenciado, amparado pelo Registro de Licença ANM nº 8/2021 (validade até 31/08/2029) e pela Licença de Instalação IEMA nº 000478/2025-D (válida até 16/10/2029).</w:t>
      </w:r>
    </w:p>
    <w:p w14:paraId="3A1A48A3" w14:textId="77777777" w:rsidR="00326C65" w:rsidRDefault="00000000">
      <w:pPr>
        <w:spacing w:after="160" w:line="276" w:lineRule="auto"/>
        <w:jc w:val="both"/>
      </w:pPr>
      <w:r>
        <w:t>O investimento total previsto é de R$ 25.568.924,08, cuja estrutura financeira será composta por:</w:t>
      </w:r>
    </w:p>
    <w:p w14:paraId="1D61637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 w:rsidRPr="00C3733B">
        <w:t xml:space="preserve">Financiamento FNE: até R$ 24.290.477,88, </w:t>
      </w:r>
      <w:r>
        <w:rPr>
          <w:color w:val="C00000"/>
        </w:rPr>
        <w:t xml:space="preserve">correspondente a 95% do investimento — incluído capital de giro associado de R$ 4.025.000,00;</w:t>
      </w:r>
    </w:p>
    <w:p w14:paraId="2E0C77A7" w14:textId="0577CB48" w:rsidR="00C3733B" w:rsidRPr="00C3733B" w:rsidRDefault="00000000" w:rsidP="00C3733B">
      <w:pPr>
        <w:pStyle w:val="PargrafodaLista"/>
        <w:numPr>
          <w:ilvl w:val="0"/>
          <w:numId w:val="1"/>
        </w:numPr>
        <w:spacing w:after="100" w:line="276" w:lineRule="auto"/>
        <w:jc w:val="both"/>
      </w:pPr>
      <w:r w:rsidRPr="00C3733B">
        <w:t>Contrapartida própria: R$ 1.278.446,20, equivalente a 5% do investimento total</w:t>
      </w:r>
      <w:r w:rsidR="00C3733B" w:rsidRPr="00C3733B">
        <w:t>.</w:t>
      </w:r>
      <w:r w:rsidR="00C3733B" w:rsidRPr="00C3733B">
        <w:br/>
      </w:r>
      <w:r w:rsidR="00C3733B">
        <w:rPr>
          <w:color w:val="EE0000"/>
        </w:rPr>
        <w:br/>
      </w:r>
      <w:r w:rsidR="00C3733B" w:rsidRPr="00C3733B">
        <w:rPr>
          <w:color w:val="C00000"/>
        </w:rPr>
        <w:t xml:space="preserve"/>
      </w:r>
      <w:r w:rsidR="00C3733B">
        <w:rPr>
          <w:color w:val="C00000"/>
        </w:rPr>
        <w:t/>
      </w:r>
      <w:r>
        <w:rPr>
          <w:color w:val="C00000"/>
        </w:rPr>
        <w:t xml:space="preserve"/>
      </w:r>
      <w:r w:rsidR="00C3733B">
        <w:rPr>
          <w:color w:val="C00000"/>
        </w:rPr>
        <w:t/>
      </w:r>
      <w:r>
        <w:rPr>
          <w:color w:val="C00000"/>
        </w:rPr>
        <w:t xml:space="preserve"/>
      </w:r>
      <w:r w:rsidR="00C3733B">
        <w:rPr>
          <w:color w:val="C00000"/>
        </w:rPr>
        <w:t xml:space="preserve"/>
      </w:r>
      <w:proofErr w:type="gramStart"/>
      <w:r w:rsidR="00C3733B">
        <w:rPr>
          <w:color w:val="C00000"/>
        </w:rPr>
        <w:t/>
      </w:r>
      <w:proofErr w:type="gramEnd"/>
      <w:r w:rsidR="00C3733B">
        <w:rPr>
          <w:color w:val="C00000"/>
        </w:rPr>
        <w:t xml:space="preserve"/>
      </w:r>
      <w:r>
        <w:rPr>
          <w:color w:val="C00000"/>
        </w:rPr>
        <w:t xml:space="preserve"/>
      </w:r>
      <w:r w:rsidR="00C3733B">
        <w:rPr>
          <w:color w:val="C00000"/>
        </w:rPr>
        <w:t/>
      </w:r>
      <w:r>
        <w:rPr>
          <w:color w:val="C00000"/>
        </w:rPr>
        <w:t/>
      </w:r>
      <w:r w:rsidR="00C3733B">
        <w:rPr>
          <w:color w:val="C00000"/>
        </w:rPr>
        <w:t xml:space="preserve"/>
      </w:r>
      <w:r w:rsidR="00C3733B" w:rsidRPr="00C3733B">
        <w:rPr>
          <w:color w:val="C00000"/>
        </w:rPr>
        <w:t xml:space="preserve"/>
      </w:r>
      <w:r w:rsidR="00C3733B" w:rsidRPr="00C3733B">
        <w:rPr>
          <w:color w:val="C00000"/>
        </w:rPr>
        <w:lastRenderedPageBreak/>
        <w:t/>
      </w:r>
      <w:proofErr w:type="gramStart"/>
      <w:r w:rsidR="00C3733B" w:rsidRPr="00C3733B">
        <w:rPr>
          <w:color w:val="C00000"/>
        </w:rPr>
        <w:t/>
      </w:r>
      <w:proofErr w:type="gramEnd"/>
      <w:r w:rsidR="00C3733B" w:rsidRPr="00C3733B">
        <w:rPr>
          <w:color w:val="C00000"/>
        </w:rPr>
        <w:t xml:space="preserve"/>
      </w:r>
      <w:r w:rsidR="00C3733B">
        <w:rPr>
          <w:color w:val="C00000"/>
        </w:rPr>
        <w:t/>
      </w:r>
      <w:r w:rsidR="00C3733B" w:rsidRPr="00C3733B">
        <w:rPr>
          <w:color w:val="C00000"/>
        </w:rPr>
        <w:t xml:space="preserve"/>
      </w:r>
    </w:p>
    <w:p w14:paraId="3AE6E5FD" w14:textId="77777777" w:rsidR="00C3733B" w:rsidRPr="00C3733B" w:rsidRDefault="00C3733B" w:rsidP="00C3733B">
      <w:pPr>
        <w:pStyle w:val="PargrafodaLista"/>
        <w:numPr>
          <w:ilvl w:val="0"/>
          <w:numId w:val="1"/>
        </w:numPr>
        <w:spacing w:after="100" w:line="276" w:lineRule="auto"/>
        <w:jc w:val="both"/>
      </w:pPr>
    </w:p>
    <w:p w14:paraId="3321F7D0" w14:textId="2F5715AA" w:rsidR="00326C65" w:rsidRDefault="00000000" w:rsidP="00C3733B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/>
      </w:r>
      <w:r>
        <w:rPr>
          <w:color w:val="C00000"/>
        </w:rPr>
        <w:t xml:space="preserve">A estrutura proposta observa integralmente os critérios da Programação FNE vigente: São Mateus/ES é município de média renda (tipologia PNDR — Anexo D do Decreto 11.962/2024), integrante dos espaços prioritários da Programação. Pela receita operacional anual estabilizada projetada de R$ 17,45 milhões, a empresa enquadra-se no porte Médio I, sendo o empreendimento financiável em até 95% do investimento, mediante contrapartida mínima de 5% de recursos próprios.</w:t>
      </w:r>
      <w:r>
        <w:rPr>
          <w:b/>
          <w:bCs/>
          <w:color w:val="C00000"/>
        </w:rPr>
        <w:t/>
      </w:r>
      <w:r>
        <w:rPr>
          <w:color w:val="C00000"/>
        </w:rPr>
        <w:t/>
      </w:r>
    </w:p>
    <w:p w14:paraId="392CC772" w14:textId="77777777" w:rsidR="00326C65" w:rsidRDefault="00000000">
      <w:pPr>
        <w:spacing w:after="160" w:line="276" w:lineRule="auto"/>
        <w:jc w:val="both"/>
      </w:pPr>
      <w:r w:rsidRPr="00C3733B">
        <w:rPr>
          <w:color w:val="C00000"/>
          <w:highlight w:val="yellow"/>
        </w:rPr>
        <w:t>Pleiteia-se prazo total de 14 anos, sendo 2 anos de carência e 12 de amortização,</w:t>
      </w:r>
      <w:r>
        <w:rPr>
          <w:color w:val="C00000"/>
        </w:rPr>
        <w:t xml:space="preserve"> com enquadramento na condição de prazo do FNE para empresas administradas por mulher (principal dirigente: Rebeca Colombi Taylor).</w:t>
      </w:r>
    </w:p>
    <w:p w14:paraId="05EC34F0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Ressalta-se que os sócios já realizaram, com recursos próprios, os investimentos preparatórios: </w:t>
      </w:r>
      <w:r w:rsidRPr="00C3733B">
        <w:rPr>
          <w:color w:val="C00000"/>
          <w:highlight w:val="yellow"/>
        </w:rPr>
        <w:t>aquisição do terreno de apoio (2019),</w:t>
      </w:r>
      <w:r>
        <w:rPr>
          <w:color w:val="C00000"/>
        </w:rPr>
        <w:t xml:space="preserve"> contratação da servidão minerária da área de lavra e obtenção do Registro de Licença ANM e das licenças ambientais (LP e LI) — comprometimento financeiro efetivo que reduz os riscos da fase de implantação.</w:t>
      </w:r>
    </w:p>
    <w:p w14:paraId="51B78A77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Estima-se a geração de cerca de 30 empregos diretos na operação, além dos empregos temporários da implantação.</w:t>
      </w:r>
    </w:p>
    <w:p w14:paraId="0947E8AD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Como garantia principal será apresentada alienação fiduciária de imóveis, com cobertura mínima de 110% do valor financiado, </w:t>
      </w:r>
      <w:r>
        <w:rPr>
          <w:color w:val="C00000"/>
        </w:rPr>
        <w:t xml:space="preserve">complementada por aval dos sócios (seção 7).</w:t>
      </w:r>
    </w:p>
    <w:p w14:paraId="26B5E87A" w14:textId="77777777" w:rsidR="00326C65" w:rsidRDefault="00000000">
      <w:pPr>
        <w:spacing w:after="160" w:line="276" w:lineRule="auto"/>
        <w:jc w:val="both"/>
      </w:pPr>
      <w:r>
        <w:t xml:space="preserve">A operação enquadra-se na linha FNE Industrial (extração e britamento de pedras — CNAE 08.10-0/99). </w:t>
      </w:r>
      <w:r w:rsidRPr="00C3733B">
        <w:rPr>
          <w:color w:val="C00000"/>
          <w:highlight w:val="yellow"/>
        </w:rPr>
        <w:t>A viabilidade mercadológica é objeto do Estudo de Mercado anexo, resumido na seção 3.</w:t>
      </w:r>
    </w:p>
    <w:p w14:paraId="2BA44991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3. JUSTIFICATIVA DO EMPREENDIMENTO</w:t>
      </w:r>
    </w:p>
    <w:p w14:paraId="58A710D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Os fundamentos mercadológicos do empreendimento </w:t>
      </w:r>
      <w:r w:rsidRPr="00C3733B">
        <w:rPr>
          <w:color w:val="C00000"/>
          <w:highlight w:val="yellow"/>
        </w:rPr>
        <w:t xml:space="preserve">estão detalhados no Estudo de Mercado anexo (Projet Consultoria, </w:t>
      </w:r>
      <w:proofErr w:type="spellStart"/>
      <w:r w:rsidRPr="00C3733B">
        <w:rPr>
          <w:color w:val="C00000"/>
          <w:highlight w:val="yellow"/>
        </w:rPr>
        <w:t>jun</w:t>
      </w:r>
      <w:proofErr w:type="spellEnd"/>
      <w:r w:rsidRPr="00C3733B">
        <w:rPr>
          <w:color w:val="C00000"/>
          <w:highlight w:val="yellow"/>
        </w:rPr>
        <w:t>/2026 — concorrência, censo de clientes, obras públicas e potencial de Guriri), cujos principais resultados são resumidos a seguir.</w:t>
      </w:r>
    </w:p>
    <w:p w14:paraId="1C3D3DA1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São Mateus é o 7º município mais populoso do Espírito Santo (134,4 mil habitantes estimados em 2025; crescimento de 13,5% na década) e polo de uma área de influência de 250 a 500 mil habitantes. A demanda corrente de brita apenas na sede é estimada em 220–230 mil t/ano (consumo per capita ANEPAC de 4,1 t/</w:t>
      </w:r>
      <w:proofErr w:type="spellStart"/>
      <w:r>
        <w:rPr>
          <w:color w:val="C00000"/>
        </w:rPr>
        <w:t>hab</w:t>
      </w:r>
      <w:proofErr w:type="spellEnd"/>
      <w:r>
        <w:rPr>
          <w:color w:val="C00000"/>
        </w:rPr>
        <w:t>/ano de agregados no Sudeste, base 2014, aplicado de forma conservadora), e a demanda regional total situa-se entre 250 e 600 mil t/ano conforme o cenário.</w:t>
      </w:r>
    </w:p>
    <w:p w14:paraId="74720E3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 oferta local instalada, porém, é mínima: pela base de arrecadação da CFEM (ANM, granito/ES, 2025), o único produtor de porte da região opera a ~73 km da sede (Rio Bananal) e os concorrentes relevantes mais próximos — Nova Venécia e Pinheiros — produzem a 55–75 km, com parte do suprimento vindo de ainda mais longe (eixo Aracruz/Linhares). A jazida da CIPREM está a ~35 km da sede: em um produto cujo preço posto na obra é dominado pelo frete, é vantagem competitiva estrutural no maior polo de demanda da região — a operação substitui importação de brita de longa distância por produção local.</w:t>
      </w:r>
    </w:p>
    <w:p w14:paraId="569783A8" w14:textId="77777777" w:rsidR="00326C65" w:rsidRDefault="00000000">
      <w:pPr>
        <w:spacing w:after="160" w:line="276" w:lineRule="auto"/>
        <w:jc w:val="both"/>
      </w:pPr>
      <w:r w:rsidRPr="00C3733B">
        <w:rPr>
          <w:color w:val="C00000"/>
          <w:highlight w:val="green"/>
        </w:rPr>
        <w:t xml:space="preserve">O município vive ainda um ciclo atípico de investimentos públicos, superior a R$ 1 bilhão em obras contratadas ou em licitação: Contorno de São Mateus/ES-318 (R$ 165 milhões, 24 km), </w:t>
      </w:r>
      <w:r w:rsidRPr="00C3733B">
        <w:rPr>
          <w:color w:val="C00000"/>
          <w:highlight w:val="green"/>
        </w:rPr>
        <w:lastRenderedPageBreak/>
        <w:t>Complexo de Saúde do Norte (R$ 370 milhões), Macrodrenagem e pavimentação de Guriri — Bacias 1 e 2 (R$ 628 milhões), pavimentação da ES-010 e duplicação da ES-315, além das terceiras faixas da BR-101 (concessão Ecovias Capixaba, 2025–2048). O estudo estima em 70–100 mil t/ano a demanda extraordinária de brita dessas frentes durante a janela de 3 a 4,5 anos de obras — adicional relevante sobre a demanda corrente — e em 75–90 mil t o potencial remanescente de pavimentação do balneário de Guriri, sem contar novos loteamentos.</w:t>
      </w:r>
    </w:p>
    <w:p w14:paraId="0DA2A8AA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No setor privado, operam na praça centrais de concreto de grupos consolidados (</w:t>
      </w:r>
      <w:proofErr w:type="spellStart"/>
      <w:r>
        <w:rPr>
          <w:color w:val="C00000"/>
        </w:rPr>
        <w:t>Polimix</w:t>
      </w:r>
      <w:proofErr w:type="spellEnd"/>
      <w:r>
        <w:rPr>
          <w:color w:val="C00000"/>
        </w:rPr>
        <w:t xml:space="preserve"> e </w:t>
      </w:r>
      <w:proofErr w:type="spellStart"/>
      <w:r>
        <w:rPr>
          <w:color w:val="C00000"/>
        </w:rPr>
        <w:t>Pedramix</w:t>
      </w:r>
      <w:proofErr w:type="spellEnd"/>
      <w:r>
        <w:rPr>
          <w:color w:val="C00000"/>
        </w:rPr>
        <w:t xml:space="preserve">), consumidoras contínuas de brita e areia industrial, </w:t>
      </w:r>
      <w:r w:rsidRPr="00C3733B">
        <w:rPr>
          <w:color w:val="C00000"/>
          <w:highlight w:val="yellow"/>
        </w:rPr>
        <w:t xml:space="preserve">e soma-se o consumo cativo do próprio grupo: a Concreto </w:t>
      </w:r>
      <w:proofErr w:type="spellStart"/>
      <w:r w:rsidRPr="00C3733B">
        <w:rPr>
          <w:color w:val="C00000"/>
          <w:highlight w:val="yellow"/>
        </w:rPr>
        <w:t>Britaki</w:t>
      </w:r>
      <w:proofErr w:type="spellEnd"/>
      <w:r w:rsidRPr="00C3733B">
        <w:rPr>
          <w:color w:val="C00000"/>
          <w:highlight w:val="yellow"/>
        </w:rPr>
        <w:t xml:space="preserve"> e a linha de artefatos e </w:t>
      </w:r>
      <w:proofErr w:type="spellStart"/>
      <w:r w:rsidRPr="00C3733B">
        <w:rPr>
          <w:color w:val="C00000"/>
          <w:highlight w:val="yellow"/>
        </w:rPr>
        <w:t>premoldados</w:t>
      </w:r>
      <w:proofErr w:type="spellEnd"/>
      <w:r w:rsidRPr="00C3733B">
        <w:rPr>
          <w:color w:val="C00000"/>
          <w:highlight w:val="yellow"/>
        </w:rPr>
        <w:t xml:space="preserve"> de cimento da própria CIPREM (CNAE 23.30-3/02) absorvem parte relevante das frações finas (pó de pedra e pedrisco), historicamente as de escoamento mais difícil em pedreiras entrantes. A Prefeitura (receitas realizadas de R$ 696,7 milhões em 2024) é compradora direta para pavimentação</w:t>
      </w:r>
      <w:r>
        <w:rPr>
          <w:color w:val="C00000"/>
        </w:rPr>
        <w:t xml:space="preserve"> em blocos, </w:t>
      </w:r>
      <w:r w:rsidRPr="00C3733B">
        <w:rPr>
          <w:color w:val="C00000"/>
          <w:highlight w:val="yellow"/>
        </w:rPr>
        <w:t>meios-fios e drenagem.</w:t>
      </w:r>
    </w:p>
    <w:p w14:paraId="342D3310" w14:textId="77777777" w:rsidR="00326C65" w:rsidRDefault="00000000">
      <w:pPr>
        <w:spacing w:after="160" w:line="276" w:lineRule="auto"/>
        <w:jc w:val="both"/>
      </w:pPr>
      <w:r w:rsidRPr="00C3733B">
        <w:rPr>
          <w:color w:val="C00000"/>
          <w:highlight w:val="yellow"/>
        </w:rPr>
        <w:t xml:space="preserve">Há ainda potencial adicional não contabilizado nas projeções: o Porto </w:t>
      </w:r>
      <w:proofErr w:type="spellStart"/>
      <w:r w:rsidRPr="00C3733B">
        <w:rPr>
          <w:color w:val="C00000"/>
          <w:highlight w:val="yellow"/>
        </w:rPr>
        <w:t>Petrocity</w:t>
      </w:r>
      <w:proofErr w:type="spellEnd"/>
      <w:r w:rsidRPr="00C3733B">
        <w:rPr>
          <w:color w:val="C00000"/>
          <w:highlight w:val="yellow"/>
        </w:rPr>
        <w:t xml:space="preserve"> (</w:t>
      </w:r>
      <w:proofErr w:type="spellStart"/>
      <w:r w:rsidRPr="00C3733B">
        <w:rPr>
          <w:color w:val="C00000"/>
          <w:highlight w:val="yellow"/>
        </w:rPr>
        <w:t>Urussuquara</w:t>
      </w:r>
      <w:proofErr w:type="spellEnd"/>
      <w:r w:rsidRPr="00C3733B">
        <w:rPr>
          <w:color w:val="C00000"/>
          <w:highlight w:val="yellow"/>
        </w:rPr>
        <w:t>/São Mateus), com Licença Prévia emitida pelo IBAMA em janeiro de 2025, demandaria enrocamento e concreto em volume de outra ordem de grandeza caso confirmado.</w:t>
      </w:r>
    </w:p>
    <w:p w14:paraId="450CB438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O empreendimento situa-se na área de atuação da SUDENE, beneficiando-se dos instrumentos de fomento do FNE, e está alinhado às diretrizes da Política Nacional de Desenvolvimento Regional: substitui suprimento de longa distância por produção local, reduz custo de construção na região, gera emprego e renda no interior do Espírito Santo e fortalece a infraestrutura para os investimentos públicos e privados do norte capixaba.</w:t>
      </w:r>
    </w:p>
    <w:p w14:paraId="136AA628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4. A EMPRESA</w:t>
      </w:r>
    </w:p>
    <w:p w14:paraId="7D750FE3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A CIPREM – Cimento e </w:t>
      </w:r>
      <w:proofErr w:type="spellStart"/>
      <w:r>
        <w:rPr>
          <w:color w:val="C00000"/>
        </w:rPr>
        <w:t>Premoldados</w:t>
      </w:r>
      <w:proofErr w:type="spellEnd"/>
      <w:r>
        <w:rPr>
          <w:color w:val="C00000"/>
        </w:rPr>
        <w:t xml:space="preserve"> Ltda foi constituída em 09/10/2002, sob a forma de Sociedade Empresária Limitada, com sede na Rodovia Miguel Curry Carneiro, distrito de Nestor Gomes, São Mateus/ES, tendo por objeto a extração e britamento de pedras (CNAE 08.10-0/99) e a fabricação de artefatos de cimento (CNAE 23.30-3/02).</w:t>
      </w:r>
    </w:p>
    <w:p w14:paraId="0EEF82FC" w14:textId="7105CD4B" w:rsidR="00326C65" w:rsidRDefault="00000000">
      <w:pPr>
        <w:spacing w:after="160" w:line="276" w:lineRule="auto"/>
        <w:jc w:val="both"/>
      </w:pPr>
      <w:r>
        <w:t xml:space="preserve">Trata-se de empresa em fase de implantação do empreendimento objeto desta proposta, razão pela qual não possui faturamento operacional recorrente. </w:t>
      </w:r>
      <w:r>
        <w:rPr>
          <w:color w:val="C00000"/>
        </w:rPr>
        <w:t>Para fins de enquadramento da operação, considera-se a receita operacional anual estabilizada projetada de R$ 17,45 milhões</w:t>
      </w:r>
      <w:r w:rsidR="00C3733B">
        <w:rPr>
          <w:color w:val="C00000"/>
        </w:rPr>
        <w:t>.</w:t>
      </w:r>
    </w:p>
    <w:p w14:paraId="1580B945" w14:textId="77777777" w:rsidR="00326C65" w:rsidRDefault="00000000">
      <w:pPr>
        <w:spacing w:after="160" w:line="276" w:lineRule="auto"/>
        <w:jc w:val="both"/>
      </w:pPr>
      <w:r>
        <w:t>Conforme demonstrações de 2025 (ECD/SPED, Livro nº 14): Ativo de R$ 1.039.421,52; Patrimônio Líquido de R$ 1.039.421,52, sustentado por AFAC dos sócios de R$ 1.104.536,16 (empresa pré-operacional, sem BP/DRE de 2023/2024). O capital social integralizado é de R$ 193.780,00, distribuído igualmente entre os sócios:</w:t>
      </w:r>
    </w:p>
    <w:p w14:paraId="065036A1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t xml:space="preserve">Rebeca Colombi Taylor — 25,0% </w:t>
      </w:r>
      <w:r>
        <w:rPr>
          <w:color w:val="C00000"/>
        </w:rPr>
        <w:t>[CPF A PREENCHER]</w:t>
      </w:r>
    </w:p>
    <w:p w14:paraId="4E4C788F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t xml:space="preserve">Sarita Colombi </w:t>
      </w:r>
      <w:proofErr w:type="spellStart"/>
      <w:r>
        <w:t>Morelato</w:t>
      </w:r>
      <w:proofErr w:type="spellEnd"/>
      <w:r>
        <w:t xml:space="preserve"> — 25,0% </w:t>
      </w:r>
      <w:r>
        <w:rPr>
          <w:color w:val="C00000"/>
        </w:rPr>
        <w:t>[CPF A PREENCHER]</w:t>
      </w:r>
    </w:p>
    <w:p w14:paraId="66B9D705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t xml:space="preserve">Hugo Bassetti Colombi — 25,0% </w:t>
      </w:r>
      <w:r>
        <w:rPr>
          <w:color w:val="C00000"/>
        </w:rPr>
        <w:t>[CPF A PREENCHER]</w:t>
      </w:r>
    </w:p>
    <w:p w14:paraId="027AC931" w14:textId="77777777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  <w:rPr>
          <w:lang w:val="en-US"/>
        </w:rPr>
      </w:pPr>
      <w:r w:rsidRPr="00C3733B">
        <w:rPr>
          <w:lang w:val="en-US"/>
        </w:rPr>
        <w:t xml:space="preserve">Ramon Filipe Colombi — 25,0% </w:t>
      </w:r>
      <w:r w:rsidRPr="00C3733B">
        <w:rPr>
          <w:color w:val="C00000"/>
          <w:lang w:val="en-US"/>
        </w:rPr>
        <w:t>[CPF A PREENCHER]</w:t>
      </w:r>
    </w:p>
    <w:p w14:paraId="3B84FF45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 empresa é titular da conta corrente nº [</w:t>
      </w:r>
      <w:r>
        <w:rPr>
          <w:b/>
          <w:bCs/>
          <w:color w:val="C00000"/>
        </w:rPr>
        <w:t>A PREENCHER</w:t>
      </w:r>
      <w:r>
        <w:rPr>
          <w:color w:val="C00000"/>
        </w:rPr>
        <w:t>] junto ao Banco do Nordeste, agência de São Mateus/ES.</w:t>
      </w:r>
    </w:p>
    <w:p w14:paraId="7841C2D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Quanto à regularidade da ocupação do imóvel do empreendimento: a área de lavra é utilizada mediante contrato de servidão minerária firmado em 2019 com o proprietário (família </w:t>
      </w:r>
      <w:proofErr w:type="spellStart"/>
      <w:r>
        <w:rPr>
          <w:color w:val="C00000"/>
        </w:rPr>
        <w:t>Caffeu</w:t>
      </w:r>
      <w:proofErr w:type="spellEnd"/>
      <w:r>
        <w:rPr>
          <w:color w:val="C00000"/>
        </w:rPr>
        <w:t xml:space="preserve">), </w:t>
      </w:r>
      <w:r w:rsidRPr="00C3733B">
        <w:rPr>
          <w:color w:val="C00000"/>
          <w:highlight w:val="green"/>
        </w:rPr>
        <w:t>e o terreno de apoio (96.800 m², matrícula nº 8.933 do CRI local) é de propriedade da empresa,</w:t>
      </w:r>
      <w:r>
        <w:rPr>
          <w:color w:val="C00000"/>
        </w:rPr>
        <w:t xml:space="preserve"> </w:t>
      </w:r>
      <w:r w:rsidRPr="00C3733B">
        <w:rPr>
          <w:color w:val="C00000"/>
          <w:highlight w:val="green"/>
        </w:rPr>
        <w:lastRenderedPageBreak/>
        <w:t>adquirido em 2019 — não tendo sido identificadas restrições quanto à posse ou utilização das áreas.</w:t>
      </w:r>
    </w:p>
    <w:p w14:paraId="0DDBF17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Registra-se, ainda, que os sócios e avalistas da operação não possuem vínculo de parentesco com empregados do Banco do Nordeste participantes do processo decisório, inexistindo conflito de interesses sob esse aspecto.</w:t>
      </w:r>
    </w:p>
    <w:p w14:paraId="49CA5F55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5. GRUPO ECONÔMICO</w:t>
      </w:r>
    </w:p>
    <w:p w14:paraId="73B80D34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 proponente integra o grupo empresarial da família Colombi (autodenominado "Grupo SV") [</w:t>
      </w:r>
      <w:r>
        <w:rPr>
          <w:b/>
          <w:bCs/>
          <w:color w:val="C00000"/>
        </w:rPr>
        <w:t>Nº DO GRUPO NO CADASTRO BNB — A PREENCHER</w:t>
      </w:r>
      <w:r>
        <w:rPr>
          <w:color w:val="C00000"/>
        </w:rPr>
        <w:t xml:space="preserve">], composto pelas seguintes pessoas jurídicas ativas, conforme registros públicos da Receita Federal (consulta em </w:t>
      </w:r>
      <w:proofErr w:type="spellStart"/>
      <w:r>
        <w:rPr>
          <w:color w:val="C00000"/>
        </w:rPr>
        <w:t>ago</w:t>
      </w:r>
      <w:proofErr w:type="spellEnd"/>
      <w:r>
        <w:rPr>
          <w:color w:val="C00000"/>
        </w:rPr>
        <w:t>/2026):</w:t>
      </w:r>
    </w:p>
    <w:p w14:paraId="76DF6F1C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Mineração São Vicente Ltda (CNPJ 06.537.334/0001-85, 2004) — extração e britagem; matriz em Itagimirim/BA e 6 estabelecimentos, incluindo a Pedreira Vale Verde em Porto Seguro/BA e filial em Salto da Divisa/MG (2025);</w:t>
      </w:r>
    </w:p>
    <w:p w14:paraId="74B682AD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Concreto </w:t>
      </w:r>
      <w:proofErr w:type="spellStart"/>
      <w:r>
        <w:rPr>
          <w:color w:val="C00000"/>
        </w:rPr>
        <w:t>Britaki</w:t>
      </w:r>
      <w:proofErr w:type="spellEnd"/>
      <w:r>
        <w:rPr>
          <w:color w:val="C00000"/>
        </w:rPr>
        <w:t xml:space="preserve"> Ltda (CNPJ 34.772.245/0001-59, 2019) — concreto usinado em 7 praças do litoral sul baiano; a Mineração São Vicente é sócia pessoa jurídica;</w:t>
      </w:r>
    </w:p>
    <w:p w14:paraId="18C00A48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proofErr w:type="spellStart"/>
      <w:r>
        <w:rPr>
          <w:color w:val="C00000"/>
        </w:rPr>
        <w:t>Superbritas</w:t>
      </w:r>
      <w:proofErr w:type="spellEnd"/>
      <w:r>
        <w:rPr>
          <w:color w:val="C00000"/>
        </w:rPr>
        <w:t xml:space="preserve"> Ltda (CNPJ 09.622.478/0001-28, 2008) — extração e britagem em Lauro de Freitas/BA (Região Metropolitana de Salvador), em área superior a 100 hectares;</w:t>
      </w:r>
    </w:p>
    <w:p w14:paraId="1A572122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Pedreira </w:t>
      </w:r>
      <w:proofErr w:type="spellStart"/>
      <w:r>
        <w:rPr>
          <w:color w:val="C00000"/>
        </w:rPr>
        <w:t>Topbritas</w:t>
      </w:r>
      <w:proofErr w:type="spellEnd"/>
      <w:r>
        <w:rPr>
          <w:color w:val="C00000"/>
        </w:rPr>
        <w:t xml:space="preserve"> Ltda (CNPJ 35.322.558/0001-78, 2019) — extração e britagem em Nazaré/BA; a Mineração São Vicente é sócia pessoa jurídica;</w:t>
      </w:r>
    </w:p>
    <w:p w14:paraId="1B9ED8F0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Via Nobre Construtora Ltda (CNPJ 32.205.185/0001-67, 2018) — construção de rodovias e ferrovias, Itagimirim/BA;</w:t>
      </w:r>
    </w:p>
    <w:p w14:paraId="37F542E2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CSC Serviços Ltda (CNPJ 41.887.581/0001-02, 2021) — centro de serviços compartilhados (apoio administrativo e manutenção), Eunápolis/BA.</w:t>
      </w:r>
    </w:p>
    <w:p w14:paraId="5713ADD2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Em síntese: cerca de 16 estabelecimentos em mais de 10 municípios de dois estados, capital social agregado superior a R$ 4 milhões, verticalização registrada em quadro societário e os mesmos quatro sócios-administradores em todas as empresas — os mesmos da CIPREM.</w:t>
      </w:r>
    </w:p>
    <w:p w14:paraId="29002356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Somatório dos Limites de Risco Global (LRG) do grupo: [</w:t>
      </w:r>
      <w:r>
        <w:rPr>
          <w:b/>
          <w:bCs/>
          <w:color w:val="C00000"/>
        </w:rPr>
        <w:t>A PREENCHER CONFORME CADASTRO CORPORATIVO DO BANCO</w:t>
      </w:r>
      <w:r>
        <w:rPr>
          <w:color w:val="C00000"/>
        </w:rPr>
        <w:t>].</w:t>
      </w:r>
    </w:p>
    <w:p w14:paraId="0558701D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6. RELACIONAMENTO DO GRUPO COM O BNB</w:t>
      </w:r>
    </w:p>
    <w:p w14:paraId="2CD1C228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 xml:space="preserve">As empresas do grupo atuam majoritariamente na Bahia — área de atuação do FNE — e seu histórico de operações e relacionamento com o Banco do Nordeste deve ser consolidado conforme os registros do cadastro corporativo: </w:t>
      </w:r>
    </w:p>
    <w:p w14:paraId="06124629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Mineração São Vicente Ltda — cliente desde [DATA]; operações: [A PREENCHER]; saldo devedor: [A PREENCHER];</w:t>
      </w:r>
    </w:p>
    <w:p w14:paraId="061A4D44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Concreto </w:t>
      </w:r>
      <w:proofErr w:type="spellStart"/>
      <w:r>
        <w:rPr>
          <w:color w:val="C00000"/>
        </w:rPr>
        <w:t>Britaki</w:t>
      </w:r>
      <w:proofErr w:type="spellEnd"/>
      <w:r>
        <w:rPr>
          <w:color w:val="C00000"/>
        </w:rPr>
        <w:t xml:space="preserve"> Ltda — cliente desde [DATA]; operações: [A PREENCHER]; saldo devedor: [A PREENCHER];</w:t>
      </w:r>
    </w:p>
    <w:p w14:paraId="3A12F049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Demais empresas do grupo — [A PREENCHER].</w:t>
      </w:r>
    </w:p>
    <w:p w14:paraId="0398FE69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7. GARANTIAS DA OPERAÇÃO</w:t>
      </w:r>
    </w:p>
    <w:p w14:paraId="1F64A61D" w14:textId="77777777" w:rsidR="00326C65" w:rsidRDefault="00000000">
      <w:pPr>
        <w:spacing w:before="120" w:after="120"/>
      </w:pPr>
      <w:r>
        <w:rPr>
          <w:b/>
          <w:bCs/>
          <w:color w:val="C00000"/>
        </w:rPr>
        <w:t>7.1 Garantia Principal</w:t>
      </w:r>
    </w:p>
    <w:p w14:paraId="73456134" w14:textId="77777777" w:rsidR="00326C65" w:rsidRDefault="00000000">
      <w:pPr>
        <w:spacing w:after="160" w:line="276" w:lineRule="auto"/>
        <w:jc w:val="both"/>
      </w:pPr>
      <w:r>
        <w:lastRenderedPageBreak/>
        <w:t>Alienação fiduciária de imóveis dos sócios e de empresas do grupo, no montante de R$ 26.719.525,67, correspondente a cobertura mínima de 110% do valor financiado. Relação de imóveis a detalhar no enquadramento.</w:t>
      </w:r>
    </w:p>
    <w:p w14:paraId="47AEEA59" w14:textId="77777777" w:rsidR="00326C65" w:rsidRDefault="00000000">
      <w:pPr>
        <w:spacing w:before="120" w:after="120"/>
      </w:pPr>
      <w:r>
        <w:rPr>
          <w:b/>
          <w:bCs/>
          <w:color w:val="C00000"/>
        </w:rPr>
        <w:t>7.2 Garantias Adicionais</w:t>
      </w:r>
    </w:p>
    <w:p w14:paraId="55F16920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t xml:space="preserve">Aval dos sócios Hugo Bassetti Colombi, Ramon Filipe Colombi, Sarita Colombi </w:t>
      </w:r>
      <w:proofErr w:type="spellStart"/>
      <w:r>
        <w:t>Morelato</w:t>
      </w:r>
      <w:proofErr w:type="spellEnd"/>
      <w:r>
        <w:t xml:space="preserve"> e Rebeca Colombi Taylor.</w:t>
      </w:r>
    </w:p>
    <w:p w14:paraId="295AC393" w14:textId="77777777" w:rsidR="00326C65" w:rsidRDefault="00000000">
      <w:pPr>
        <w:spacing w:after="160" w:line="276" w:lineRule="auto"/>
        <w:jc w:val="both"/>
      </w:pPr>
      <w:r>
        <w:t xml:space="preserve">O terreno da lavra é de terceiros (família </w:t>
      </w:r>
      <w:proofErr w:type="spellStart"/>
      <w:r>
        <w:t>Caffeu</w:t>
      </w:r>
      <w:proofErr w:type="spellEnd"/>
      <w:r>
        <w:t>), utilizado mediante contrato de servidão, e não integra o financiamento nem as garantias.</w:t>
      </w:r>
    </w:p>
    <w:p w14:paraId="1A0D94CE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[OPCIONAL — AVALIAR COM A AGÊNCIA: constituição de cessão fiduciária de conta reserva/Fundo de Liquidez proporcional às liberações, a exemplo de operações recentes da agência (padrão de 10% do saldo devedor).]</w:t>
      </w:r>
    </w:p>
    <w:p w14:paraId="1612515F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8. TARIFA</w:t>
      </w:r>
    </w:p>
    <w:p w14:paraId="57C85545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Nos termos da regulamentação vigente, será devida Tarifa de Análise de Viabilidade Econômico-Financeira de 1,25% do valor financiado — R$ 303.630,97 sobre R$ 24.290.477,88 — [</w:t>
      </w:r>
      <w:r>
        <w:rPr>
          <w:b/>
          <w:bCs/>
          <w:color w:val="C00000"/>
        </w:rPr>
        <w:t>CONFERIR VALOR/ALÍQUOTA VIGENTE NA NORMA 3303-21-01, TABELA 1</w:t>
      </w:r>
      <w:r>
        <w:rPr>
          <w:color w:val="C00000"/>
        </w:rPr>
        <w:t>].</w:t>
      </w:r>
    </w:p>
    <w:p w14:paraId="3B7C14E7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9. RELACIONAMENTO NEGOCIAL</w:t>
      </w:r>
    </w:p>
    <w:p w14:paraId="223ABDC8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[</w:t>
      </w:r>
      <w:r>
        <w:rPr>
          <w:b/>
          <w:bCs/>
          <w:color w:val="C00000"/>
        </w:rPr>
        <w:t>A PREENCHER</w:t>
      </w:r>
      <w:r>
        <w:rPr>
          <w:color w:val="C00000"/>
        </w:rPr>
        <w:t>: aplicações financeiras, seguros e demais produtos mantidos pelo grupo junto ao Banco.] Propõe-se, como reciprocidade, a centralização do domicílio bancário da operação, da movimentação financeira do empreendimento, da folha de pagamento e dos seguros no Banco do Nordeste.</w:t>
      </w:r>
    </w:p>
    <w:p w14:paraId="428F6FA8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t>CONSIDERAÇÕES FINAIS</w:t>
      </w:r>
    </w:p>
    <w:p w14:paraId="13BB5D3F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Após análise dos aspectos cadastrais, econômico-financeiros, mercadológicos e das garantias propostas, submete-se a proposta à manifestação da agência, destacando os seguintes fundamentos:</w:t>
      </w:r>
    </w:p>
    <w:p w14:paraId="15F4EBDE" w14:textId="430C951B" w:rsidR="00326C65" w:rsidRPr="00C3733B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  <w:rPr>
          <w:highlight w:val="yellow"/>
        </w:rPr>
      </w:pPr>
      <w:r>
        <w:rPr>
          <w:color w:val="C00000"/>
        </w:rPr>
        <w:t xml:space="preserve">o empreendimento insere-se em região com demanda consistente por agregados e sem pedreira comercial estabelecida no município, com âncoras de demanda verificáveis </w:t>
      </w:r>
      <w:r w:rsidRPr="00C3733B">
        <w:rPr>
          <w:color w:val="C00000"/>
          <w:highlight w:val="yellow"/>
        </w:rPr>
        <w:t>(concreteiras instaladas, duplicação da BR-101/ES);</w:t>
      </w:r>
    </w:p>
    <w:p w14:paraId="70095D0A" w14:textId="1DE045C9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a proponente integra grupo empresarial com atividade idêntica em plena operação, reduzindo o risco de implantação e de gestão;</w:t>
      </w:r>
    </w:p>
    <w:p w14:paraId="32434E15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os sócios demonstram comprometimento prévio efetivo: terreno de apoio próprio, servidão contratada e licenças (ANM, LP e LI) obtidas com recursos próprios;</w:t>
      </w:r>
    </w:p>
    <w:p w14:paraId="5B17426F" w14:textId="4A4EBB58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 xml:space="preserve">a estrutura de garantias — alienação fiduciária de imóveis com cobertura mínima de 110%, </w:t>
      </w:r>
      <w:r w:rsidR="00C3733B">
        <w:rPr>
          <w:color w:val="C00000"/>
        </w:rPr>
        <w:t xml:space="preserve">e </w:t>
      </w:r>
      <w:r>
        <w:rPr>
          <w:color w:val="C00000"/>
        </w:rPr>
        <w:t>aval dos sócios — mostra-se adequada à mitigação dos riscos;</w:t>
      </w:r>
    </w:p>
    <w:p w14:paraId="265C8F1E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a operação amplia o relacionamento do grupo com o Banco e a reciprocidade negocial (domicílio, movimentação, seguros);</w:t>
      </w:r>
    </w:p>
    <w:p w14:paraId="47EB2FDD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o empreendimento alinha-se às diretrizes do FNE e da Política Nacional de Desenvolvimento Regional — geração de emprego e renda, fortalecimento de infraestrutura e desenvolvimento do interior da área de atuação da SUDENE;</w:t>
      </w:r>
    </w:p>
    <w:p w14:paraId="24981371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a principal dirigente é mulher, com pleito de enquadramento na condição de prazo correspondente da Programação FNE.</w:t>
      </w:r>
    </w:p>
    <w:p w14:paraId="792EADF0" w14:textId="77777777" w:rsidR="00326C65" w:rsidRDefault="00000000">
      <w:pPr>
        <w:spacing w:before="320" w:after="200"/>
      </w:pPr>
      <w:r>
        <w:rPr>
          <w:b/>
          <w:bCs/>
          <w:color w:val="C00000"/>
          <w:sz w:val="26"/>
          <w:szCs w:val="26"/>
        </w:rPr>
        <w:lastRenderedPageBreak/>
        <w:t>10. ENQUADRAMENTO NORMATIVO</w:t>
      </w:r>
    </w:p>
    <w:p w14:paraId="0ED3D2DE" w14:textId="77777777" w:rsidR="00326C65" w:rsidRDefault="00000000">
      <w:pPr>
        <w:spacing w:after="160" w:line="276" w:lineRule="auto"/>
        <w:jc w:val="both"/>
      </w:pPr>
      <w:r>
        <w:rPr>
          <w:color w:val="C00000"/>
        </w:rPr>
        <w:t>A presente operação observa, entre outras, as disposições das seguintes normas internas [</w:t>
      </w:r>
      <w:r>
        <w:rPr>
          <w:b/>
          <w:bCs/>
          <w:color w:val="C00000"/>
        </w:rPr>
        <w:t>CONFERIR VIGÊNCIA/APLICABILIDADE</w:t>
      </w:r>
      <w:r>
        <w:rPr>
          <w:color w:val="C00000"/>
        </w:rPr>
        <w:t>]:</w:t>
      </w:r>
    </w:p>
    <w:p w14:paraId="6F4D39BB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3102-03-04 — Carta Consulta;</w:t>
      </w:r>
    </w:p>
    <w:p w14:paraId="00ACA5C9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3102-03-10 — Responsabilidade pela Operacionalização das Propostas de Crédito;</w:t>
      </w:r>
    </w:p>
    <w:p w14:paraId="7A60C43E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1101-04-13 — Programa de Crédito e Enquadramento;</w:t>
      </w:r>
    </w:p>
    <w:p w14:paraId="6D556F84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1101-11-08 — Parâmetros de Composição de Garantias;</w:t>
      </w:r>
    </w:p>
    <w:p w14:paraId="01A3FD0A" w14:textId="77777777" w:rsidR="00326C65" w:rsidRDefault="00000000">
      <w:pPr>
        <w:pStyle w:val="PargrafodaLista"/>
        <w:numPr>
          <w:ilvl w:val="0"/>
          <w:numId w:val="1"/>
        </w:numPr>
        <w:spacing w:after="100" w:line="276" w:lineRule="auto"/>
        <w:jc w:val="both"/>
      </w:pPr>
      <w:r>
        <w:rPr>
          <w:color w:val="C00000"/>
        </w:rPr>
        <w:t>1101-12-03 — Alçada Decisória.</w:t>
      </w:r>
    </w:p>
    <w:p w14:paraId="0B2F1345" w14:textId="77777777" w:rsidR="00326C65" w:rsidRDefault="00000000">
      <w:pPr>
        <w:spacing w:before="480" w:after="240"/>
      </w:pPr>
      <w:r>
        <w:t xml:space="preserve">São Mateus/ES, ____ de ____________ </w:t>
      </w:r>
      <w:proofErr w:type="spellStart"/>
      <w:r>
        <w:t>de</w:t>
      </w:r>
      <w:proofErr w:type="spellEnd"/>
      <w:r>
        <w:t xml:space="preserve"> 2026.</w:t>
      </w:r>
    </w:p>
    <w:p w14:paraId="2802FF1B" w14:textId="77777777" w:rsidR="00326C65" w:rsidRDefault="00000000">
      <w:pPr>
        <w:spacing w:before="480" w:after="40"/>
        <w:jc w:val="center"/>
      </w:pPr>
      <w:r>
        <w:t>___________________________________</w:t>
      </w:r>
    </w:p>
    <w:p w14:paraId="16018744" w14:textId="77777777" w:rsidR="00326C65" w:rsidRDefault="00000000">
      <w:pPr>
        <w:spacing w:after="40"/>
        <w:jc w:val="center"/>
      </w:pPr>
      <w:r>
        <w:rPr>
          <w:b/>
          <w:bCs/>
          <w:color w:val="C00000"/>
        </w:rPr>
        <w:t>[NOME — MATRÍCULA]</w:t>
      </w:r>
    </w:p>
    <w:p w14:paraId="53AEEC5E" w14:textId="77777777" w:rsidR="00326C65" w:rsidRDefault="00000000">
      <w:pPr>
        <w:spacing w:after="240"/>
        <w:jc w:val="center"/>
      </w:pPr>
      <w:r>
        <w:t>Gerente de Relacionamento</w:t>
      </w:r>
    </w:p>
    <w:p w14:paraId="78AEBE3B" w14:textId="77777777" w:rsidR="00326C65" w:rsidRDefault="00000000">
      <w:pPr>
        <w:spacing w:before="240" w:after="40"/>
        <w:jc w:val="center"/>
      </w:pPr>
      <w:r>
        <w:t>___________________________________</w:t>
      </w:r>
    </w:p>
    <w:p w14:paraId="62C4CB20" w14:textId="77777777" w:rsidR="00326C65" w:rsidRDefault="00000000">
      <w:pPr>
        <w:spacing w:after="40"/>
        <w:jc w:val="center"/>
      </w:pPr>
      <w:r>
        <w:rPr>
          <w:b/>
          <w:bCs/>
          <w:color w:val="C00000"/>
        </w:rPr>
        <w:t>[NOME — MATRÍCULA]</w:t>
      </w:r>
    </w:p>
    <w:p w14:paraId="32B187D5" w14:textId="77777777" w:rsidR="00326C65" w:rsidRDefault="00000000">
      <w:pPr>
        <w:jc w:val="center"/>
      </w:pPr>
      <w:r>
        <w:t>Gerente de Agência</w:t>
      </w:r>
    </w:p>
    <w:sectPr w:rsidR="00326C65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7966C7"/>
    <w:multiLevelType w:val="hybridMultilevel"/>
    <w:tmpl w:val="4DFC42C8"/>
    <w:lvl w:ilvl="0" w:tplc="3EE43044">
      <w:start w:val="1"/>
      <w:numFmt w:val="bullet"/>
      <w:lvlText w:val="●"/>
      <w:lvlJc w:val="left"/>
      <w:pPr>
        <w:ind w:left="720" w:hanging="360"/>
      </w:pPr>
    </w:lvl>
    <w:lvl w:ilvl="1" w:tplc="0DEA2C9C">
      <w:start w:val="1"/>
      <w:numFmt w:val="bullet"/>
      <w:lvlText w:val="○"/>
      <w:lvlJc w:val="left"/>
      <w:pPr>
        <w:ind w:left="1440" w:hanging="360"/>
      </w:pPr>
    </w:lvl>
    <w:lvl w:ilvl="2" w:tplc="C7C42F0C">
      <w:start w:val="1"/>
      <w:numFmt w:val="bullet"/>
      <w:lvlText w:val="■"/>
      <w:lvlJc w:val="left"/>
      <w:pPr>
        <w:ind w:left="2160" w:hanging="360"/>
      </w:pPr>
    </w:lvl>
    <w:lvl w:ilvl="3" w:tplc="3552D154">
      <w:start w:val="1"/>
      <w:numFmt w:val="bullet"/>
      <w:lvlText w:val="●"/>
      <w:lvlJc w:val="left"/>
      <w:pPr>
        <w:ind w:left="2880" w:hanging="360"/>
      </w:pPr>
    </w:lvl>
    <w:lvl w:ilvl="4" w:tplc="23CCD3FC">
      <w:start w:val="1"/>
      <w:numFmt w:val="bullet"/>
      <w:lvlText w:val="○"/>
      <w:lvlJc w:val="left"/>
      <w:pPr>
        <w:ind w:left="3600" w:hanging="360"/>
      </w:pPr>
    </w:lvl>
    <w:lvl w:ilvl="5" w:tplc="FCF63028">
      <w:start w:val="1"/>
      <w:numFmt w:val="bullet"/>
      <w:lvlText w:val="■"/>
      <w:lvlJc w:val="left"/>
      <w:pPr>
        <w:ind w:left="4320" w:hanging="360"/>
      </w:pPr>
    </w:lvl>
    <w:lvl w:ilvl="6" w:tplc="B79A41EC">
      <w:start w:val="1"/>
      <w:numFmt w:val="bullet"/>
      <w:lvlText w:val="●"/>
      <w:lvlJc w:val="left"/>
      <w:pPr>
        <w:ind w:left="5040" w:hanging="360"/>
      </w:pPr>
    </w:lvl>
    <w:lvl w:ilvl="7" w:tplc="843A2BF0">
      <w:start w:val="1"/>
      <w:numFmt w:val="bullet"/>
      <w:lvlText w:val="●"/>
      <w:lvlJc w:val="left"/>
      <w:pPr>
        <w:ind w:left="5760" w:hanging="360"/>
      </w:pPr>
    </w:lvl>
    <w:lvl w:ilvl="8" w:tplc="E126FF58">
      <w:start w:val="1"/>
      <w:numFmt w:val="bullet"/>
      <w:lvlText w:val="●"/>
      <w:lvlJc w:val="left"/>
      <w:pPr>
        <w:ind w:left="6480" w:hanging="360"/>
      </w:pPr>
    </w:lvl>
  </w:abstractNum>
  <w:num w:numId="1" w16cid:durableId="2001034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C65"/>
    <w:rsid w:val="00326C65"/>
    <w:rsid w:val="006C41C6"/>
    <w:rsid w:val="00C3733B"/>
    <w:rsid w:val="00E00FFF"/>
    <w:rsid w:val="00F2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804B05"/>
  <w15:docId w15:val="{78414C6E-495B-5D47-B35F-BC3E8725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2310</Words>
  <Characters>12613</Characters>
  <Application>Microsoft Office Word</Application>
  <DocSecurity>0</DocSecurity>
  <Lines>153</Lines>
  <Paragraphs>30</Paragraphs>
  <ScaleCrop>false</ScaleCrop>
  <Company/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Projet Consultoria</cp:lastModifiedBy>
  <cp:revision>4</cp:revision>
  <dcterms:created xsi:type="dcterms:W3CDTF">2026-08-05T16:40:00Z</dcterms:created>
  <dcterms:modified xsi:type="dcterms:W3CDTF">2026-08-10T13:09:00Z</dcterms:modified>
</cp:coreProperties>
</file>