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rebuchet MS" w:cs="Trebuchet MS" w:eastAsia="Trebuchet MS" w:hAnsi="Trebuchet MS"/>
          <w:b/>
          <w:bCs/>
          <w:sz w:val="28"/>
          <w:szCs w:val="28"/>
        </w:rPr>
        <w:t xml:space="preserve">CARTA CONSULTA – PROPOSTA DE NEGOCIAÇÃO</w:t>
      </w:r>
    </w:p>
    <w:p>
      <w:pPr>
        <w:spacing w:after="60"/>
        <w:jc w:val="center"/>
      </w:pPr>
      <w:r>
        <w:rPr>
          <w:rFonts w:ascii="Trebuchet MS" w:cs="Trebuchet MS" w:eastAsia="Trebuchet MS" w:hAnsi="Trebuchet MS"/>
          <w:i/>
          <w:iCs/>
          <w:color w:val="C00000"/>
          <w:sz w:val="18"/>
          <w:szCs w:val="18"/>
        </w:rPr>
        <w:t xml:space="preserve">MINUTA PARA A AGÊNCIA — alterações e acréscimos sobre a versão 4 em vermelho; campos [ENTRE COLCHETES] a preencher/conferir</w:t>
      </w:r>
    </w:p>
    <w:p>
      <w:pPr>
        <w:spacing w:after="60"/>
      </w:pPr>
      <w:r>
        <w:rPr>
          <w:rFonts w:ascii="Trebuchet MS" w:cs="Trebuchet MS" w:eastAsia="Trebuchet MS" w:hAnsi="Trebuchet MS"/>
          <w:b/>
          <w:bCs/>
          <w:sz w:val="24"/>
          <w:szCs w:val="24"/>
        </w:rPr>
        <w:t xml:space="preserve">CLIENTE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b/>
          <w:bCs/>
          <w:sz w:val="22"/>
          <w:szCs w:val="22"/>
        </w:rPr>
        <w:t xml:space="preserve">CIPREM – Cimento e Premoldados Ltda</w:t>
      </w:r>
      <w:r>
        <w:rPr>
          <w:rFonts w:ascii="Trebuchet MS" w:cs="Trebuchet MS" w:eastAsia="Trebuchet MS" w:hAnsi="Trebuchet MS"/>
          <w:sz w:val="22"/>
          <w:szCs w:val="22"/>
        </w:rPr>
        <w:t xml:space="preserve">  ·  CNPJ: 05.343.456/0001-78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1. PERFIL DO PROPONENTE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 CIPREM – Cimento e Premoldados Ltda é sociedade limitada constituída em 09/10/2002, com sede em São Mateus/ES, integrante do grupo empresarial da família Colombi — grupo com mais de 20 anos de atuação em mineração, britagem e concreto, com operações na Bahia, em Minas Gerais e no Espírito Santo.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 empresa âncora, Mineração São Vicente Ltda (Itagimirim/BA, fundada em 2004), posiciona-se como a maior e mais tradicional produtora de agregados do Extremo Sul Baiano,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com pedreira em operação desde a década de 1970 — aberta originalmente para a construção da BR-101. Conforme registros públicos da Receita Federal (consulta em ago/2026), o grupo reúne 6 empresas ativas e cerca de 16 estabelecimentos em mais de 10 municípios da Bahia e de Minas Gerais — todos em área de atuação do FNE/SUDENE —, em cadeia verticalizada da extração ao concreto usinado e às obras rodoviárias (detalhamento na seção 5).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 grupo mantém pedreira de granito em plena atividade — a Pedreira Vale Verde (Mineração São Vicente), em Porto Seguro/BA — com o mesmo processo produtivo e o mesmo portfólio de produtos do empreendimento proposto.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As unidades de britagem do grupo operam com britadores METSO e laboratório próprio de controle tecnológico — exatamente a tecnologia especificada no projeto da CIPREM (britadores Metso C117 e HP350e). Essa experiência em atividade idêntica à do projeto evidencia a capacidade técnica e gerencial do grupo e reduz os riscos de implantação e de ramp-up do empreendimento.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2. PROPOSIÇÃO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 presente proposta tem por objeto a contratação de financiamento junto ao Fundo Constitucional de Financiamento do Nordeste (FNE) destinado à implantação de pedreira de granito com planta de britagem para produção de agregados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(brita 0, brita 1, brita 2, gravilinha, pó de pedra e BGS/solo-brita)</w:t>
      </w:r>
      <w:r>
        <w:rPr>
          <w:rFonts w:ascii="Trebuchet MS" w:cs="Trebuchet MS" w:eastAsia="Trebuchet MS" w:hAnsi="Trebuchet MS"/>
          <w:sz w:val="22"/>
          <w:szCs w:val="22"/>
        </w:rPr>
        <w:t xml:space="preserve">, no distrito de Nestor Gomes, município de São Mateus/ES.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O empreendimento compreende planta de britagem de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170–180 toneladas/hora — britadores Metso (mandíbulas C117 e cônico HP350e) — com produção estimada crescente: de ~3.500 m³/mês de produto no 1º ano de operação até ~12.000 m³/mês a partir do 3º ano, dentro do teto licenciado</w:t>
      </w:r>
      <w:r>
        <w:rPr>
          <w:rFonts w:ascii="Trebuchet MS" w:cs="Trebuchet MS" w:eastAsia="Trebuchet MS" w:hAnsi="Trebuchet MS"/>
          <w:sz w:val="22"/>
          <w:szCs w:val="22"/>
        </w:rPr>
        <w:t xml:space="preserve">, amparado pelo Registro de Licença ANM nº 8/2021 (validade até 31/08/2029) e pela Licença de Instalação IEMA nº 000478/2025-D (válida até 16/10/2029).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O investimento total previsto é de R$ 25.568.924,08, cuja estrutura financeira será composta por: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Financiamento FNE: até R$ 24.290.477,88, correspondente a 95% do investimento;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Contrapartida própria: R$ 1.278.446,20, equivalente a 5% do investimento total — já incluído, no projeto, capital de giro associado de R$ 4.025.000,00.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estrutura observa os critérios da Programação FNE vigente: São Mateus/ES é município de média renda (tipologia PNDR), integrante dos espaços prioritários, e, pela receita operacional anual estabilizada projetada de R$ 17,45 milhões, a empresa enquadra-se no porte Médio (ROB entre R$ 16 e R$ 90 milhões), para o qual as condições vigentes preveem financiamento de até 95% do investimento. 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CONFERIR NA AGÊNCIA: faixa "Médio I", tetos da Programação FNE 2026 e tipologia no Anexo D (Decreto 11.962/2024)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].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Pleiteia-se prazo total de 14 anos, sendo 2 anos de carência e 12 de amortização, com enquadramento na condição de prazo do FNE para empresas administradas por mulher (principal dirigente: Rebeca Colombi Taylor).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Ressalta-se que os sócios já realizaram, com recursos próprios, os investimentos preparatórios: aquisição do terreno de apoio (2019), contratação da servidão minerária da área de lavra e obtenção do Registro de Licença ANM e das licenças ambientais (LP e LI) — comprometimento financeiro efetivo que reduz os riscos da fase de implantação.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Estima-se a geração de cerca de 30 empregos diretos na operação, além dos empregos temporários da implantação.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Como garantia principal será apresentada alienação fiduciária de imóveis, com cobertura mínima de 110% do valor financiado, complementada por alienação fiduciária dos equipamentos financiados e aval dos sócios (seção 7).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 operação enquadra-se na linha FNE Industrial (extração e britamento de pedras — CNAE 08.10-0/99).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viabilidade mercadológica é objeto do Estudo de Mercado anexo, resumido na seção 3.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3. JUSTIFICATIVA DO EMPREENDIMENTO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Os fundamentos mercadológicos do empreendimento estão detalhados no Estudo de Mercado anexo (Projet Consultoria, jun/2026 — concorrência, censo de clientes, obras públicas e potencial de Guriri), cujos principais resultados são resumidos a seguir.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São Mateus é o 7º município mais populoso do Espírito Santo (134,4 mil habitantes estimados em 2025; crescimento de 13,5% na década) e polo de uma área de influência de 250 a 500 mil habitantes. A demanda corrente de brita apenas na sede é estimada em 220–230 mil t/ano (consumo per capita ANEPAC de 4,1 t/hab/ano de agregados no Sudeste, base 2014, aplicado de forma conservadora), e a demanda regional total situa-se entre 250 e 600 mil t/ano conforme o cenário.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oferta local instalada, porém, é mínima: pela base de arrecadação da CFEM (ANM, granito/ES, 2025), o único produtor de porte da região opera a ~73 km da sede (Rio Bananal) e os concorrentes relevantes mais próximos — Nova Venécia e Pinheiros — produzem a 55–75 km, com parte do suprimento vindo de ainda mais longe (eixo Aracruz/Linhares). A jazida da CIPREM está a ~35 km da sede: em um produto cujo preço posto na obra é dominado pelo frete, é vantagem competitiva estrutural no maior polo de demanda da região — a operação substitui importação de brita de longa distância por produção local.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 município vive ainda um ciclo atípico de investimentos públicos, superior a R$ 1 bilhão em obras contratadas ou em licitação: Contorno de São Mateus/ES-318 (R$ 165 milhões, 24 km), Complexo de Saúde do Norte (R$ 370 milhões), Macrodrenagem e pavimentação de Guriri — Bacias 1 e 2 (R$ 628 milhões), pavimentação da ES-010 e duplicação da ES-315, além das terceiras faixas da BR-101 (concessão Ecovias Capixaba, 2025–2048). O estudo estima em 70–100 mil t/ano a demanda extraordinária de brita dessas frentes durante a janela de 3 a 4,5 anos de obras — adicional relevante sobre a demanda corrente — e em 75–90 mil t o potencial remanescente de pavimentação do balneário de Guriri, sem contar novos loteamentos.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No setor privado, operam na praça centrais de concreto de grupos consolidados (Polimix e Pedramix), consumidoras contínuas de brita e areia industrial, e soma-se o consumo cativo do próprio grupo: a Concreto Britaki e a linha de artefatos e premoldados de cimento da própria CIPREM (CNAE 23.30-3/02) absorvem parte relevante das frações finas (pó de pedra e pedrisco), historicamente as de escoamento mais difícil em pedreiras entrantes. A Prefeitura (receitas realizadas de R$ 696,7 milhões em 2024) é compradora direta para pavimentação em blocos, meios-fios e drenagem.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Há ainda potencial adicional não contabilizado nas projeções: o Porto Petrocity (Urussuquara/São Mateus), com Licença Prévia emitida pelo IBAMA em janeiro de 2025, demandaria enrocamento e concreto em volume de outra ordem de grandeza caso confirmado.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 empreendimento situa-se na área de atuação da SUDENE, beneficiando-se dos instrumentos de fomento do FNE, e está alinhado às diretrizes da Política Nacional de Desenvolvimento Regional: substitui suprimento de longa distância por produção local, reduz custo de construção na região, gera emprego e renda no interior do Espírito Santo e fortalece a infraestrutura para os investimentos públicos e privados do norte capixaba.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4. A EMPRESA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CIPREM – Cimento e Premoldados Ltda foi constituída em 09/10/2002, sob a forma de Sociedade Empresária Limitada, com sede na Rodovia Miguel Curry Carneiro, distrito de Nestor Gomes, São Mateus/ES, tendo por objeto a extração e britamento de pedras (CNAE 08.10-0/99) e a fabricação de artefatos de cimento (CNAE 23.30-3/02).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Trata-se de empresa em fase de implantação do empreendimento objeto desta proposta, razão pela qual não possui faturamento operacional recorrente.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Para fins de enquadramento da operação, considera-se a receita operacional anual estabilizada projetada de R$ 17,45 milhões, conforme estudo de viabilidade econômico-financeira apresentado.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Conforme demonstrações de 2025 (ECD/SPED, Livro nº 14): Ativo de R$ 1.039.421,52; Patrimônio Líquido de R$ 1.039.421,52, sustentado por AFAC dos sócios de R$ 1.104.536,16 (empresa pré-operacional, sem BP/DRE de 2023/2024). O capital social integralizado é de R$ 193.780,00, distribuído igualmente entre os sócios: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Rebeca Colombi Taylor — 25,0%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[CPF A PREENCHER]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Sarita Colombi Morelato — 25,0%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[CPF A PREENCHER]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Hugo Bassetti Colombi — 25,0%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[CPF A PREENCHER]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Ramon Filipe Colombi — 25,0% 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[CPF A PREENCHER]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empresa é titular da conta corrente nº 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A PREENCHER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] junto ao Banco do Nordeste, agência de São Mateus/ES.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Quanto à regularidade da ocupação do imóvel do empreendimento: a área de lavra é utilizada mediante contrato de servidão minerária firmado em 2019 com o proprietário (família Caffeu), e o terreno de apoio (96.800 m², matrícula nº 8.933 do CRI local) é de propriedade da empresa, adquirido em 2019 — não tendo sido identificadas restrições quanto à posse ou utilização das áreas.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Registra-se, ainda, que os sócios e avalistas da operação não possuem vínculo de parentesco com empregados do Banco do Nordeste participantes do processo decisório, inexistindo conflito de interesses sob esse aspecto.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5. GRUPO ECONÔMICO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proponente integra o grupo empresarial da família Colombi (autodenominado "Grupo SV") 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Nº DO GRUPO NO CADASTRO BNB — A PREENCHER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], composto pelas seguintes pessoas jurídicas ativas, conforme registros públicos da Receita Federal (consulta em ago/2026):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Mineração São Vicente Ltda (CNPJ 06.537.334/0001-85, 2004) — extração e britagem; matriz em Itagimirim/BA e 6 estabelecimentos, incluindo a Pedreira Vale Verde em Porto Seguro/BA e filial em Salto da Divisa/MG (2025);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Concreto Britaki Ltda (CNPJ 34.772.245/0001-59, 2019) — concreto usinado em 7 praças do litoral sul baiano; a Mineração São Vicente é sócia pessoa jurídica;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Superbritas Ltda (CNPJ 09.622.478/0001-28, 2008) — extração e britagem em Lauro de Freitas/BA (Região Metropolitana de Salvador), em área superior a 100 hectares;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Pedreira Topbritas Ltda (CNPJ 35.322.558/0001-78, 2019) — extração e britagem em Nazaré/BA; a Mineração São Vicente é sócia pessoa jurídica;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Via Nobre Construtora Ltda (CNPJ 32.205.185/0001-67, 2018) — construção de rodovias e ferrovias, Itagimirim/BA;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CSC Serviços Ltda (CNPJ 41.887.581/0001-02, 2021) — centro de serviços compartilhados (apoio administrativo e manutenção), Eunápolis/BA.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Em síntese: cerca de 16 estabelecimentos em mais de 10 municípios de dois estados, capital social agregado superior a R$ 4 milhões, verticalização registrada em quadro societário e os mesmos quatro sócios-administradores em todas as empresas — os mesmos da CIPREM.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Somatório dos Limites de Risco Global (LRG) do grupo: 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A PREENCHER CONFORME CADASTRO CORPORATIVO DO BANCO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].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6. RELACIONAMENTO DO GRUPO COM O BNB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As empresas do grupo atuam majoritariamente na Bahia — área de atuação do FNE — e seu histórico de operações e relacionamento com o Banco do Nordeste deve ser consolidado conforme os registros do cadastro corporativo: 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Mineração São Vicente Ltda — cliente desde [DATA]; operações: [A PREENCHER]; saldo devedor: [A PREENCHER];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Concreto Britaki Ltda — cliente desde [DATA]; operações: [A PREENCHER]; saldo devedor: [A PREENCHER];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Demais empresas do grupo — [A PREENCHER].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7. GARANTIAS DA OPERAÇÃO</w:t>
      </w:r>
    </w:p>
    <w:p>
      <w:pPr>
        <w:spacing w:after="120" w:before="120"/>
      </w:pP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7.1 Garantia Principal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Alienação fiduciária de imóveis dos sócios e de empresas do grupo, no montante de R$ 26.719.525,67, correspondente a cobertura mínima de 110% do valor financiado. Relação de imóveis a detalhar no enquadramento.</w:t>
      </w:r>
    </w:p>
    <w:p>
      <w:pPr>
        <w:spacing w:after="120" w:before="120"/>
      </w:pP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7.2 Garantias Adicionais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Alienação fiduciária dos equipamentos financiados (100% do valor dos bens);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Aval dos sócios Hugo Bassetti Colombi, Ramon Filipe Colombi, Sarita Colombi Morelato e Rebeca Colombi Taylor.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sz w:val="22"/>
          <w:szCs w:val="22"/>
        </w:rPr>
        <w:t xml:space="preserve">O terreno da lavra é de terceiros (família Caffeu), utilizado mediante contrato de servidão, e não integra o financiamento nem as garantias.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[OPCIONAL — AVALIAR COM A AGÊNCIA: constituição de cessão fiduciária de conta reserva/Fundo de Liquidez proporcional às liberações, a exemplo de operações recentes da agência (padrão de 10% do saldo devedor).]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8. TARIFA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Nos termos da regulamentação vigente, será devida Tarifa de Análise de Viabilidade Econômico-Financeira de 1,25% do valor financiado — R$ 303.630,97 sobre R$ 24.290.477,88 — 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CONFERIR VALOR/ALÍQUOTA VIGENTE NA NORMA 3303-21-01, TABELA 1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].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9. RELACIONAMENTO NEGOCIAL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A PREENCHER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: aplicações financeiras, seguros e demais produtos mantidos pelo grupo junto ao Banco.] Propõe-se, como reciprocidade, a centralização do domicílio bancário da operação, da movimentação financeira do empreendimento, da folha de pagamento e dos seguros no Banco do Nordeste.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CONSIDERAÇÕES FINAIS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Após análise dos aspectos cadastrais, econômico-financeiros, mercadológicos e das garantias propostas, submete-se a proposta à manifestação da agência, destacando os seguintes fundamentos: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 empreendimento insere-se em região com demanda consistente por agregados e sem pedreira comercial estabelecida no município, com âncoras de demanda verificáveis (concreteiras instaladas, duplicação da BR-101/ES e consumo do próprio grupo);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proponente integra grupo empresarial com atividade idêntica em plena operação (Pedreira Vale Verde/BA), reduzindo o risco de implantação e de gestão;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os sócios demonstram comprometimento prévio efetivo: terreno de apoio próprio, servidão contratada e licenças (ANM, LP e LI) obtidas com recursos próprios;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estrutura de garantias — alienação fiduciária de imóveis com cobertura mínima de 110%, alienação fiduciária dos equipamentos e aval dos sócios — mostra-se adequada à mitigação dos riscos;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operação amplia o relacionamento do grupo com o Banco e a reciprocidade negocial (domicílio, movimentação, seguros);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o empreendimento alinha-se às diretrizes do FNE e da Política Nacional de Desenvolvimento Regional — geração de emprego e renda, fortalecimento de infraestrutura e desenvolvimento do interior da área de atuação da SUDENE;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principal dirigente é mulher, com pleito de enquadramento na condição de prazo correspondente da Programação FNE.</w:t>
      </w:r>
    </w:p>
    <w:p>
      <w:pPr>
        <w:spacing w:after="200" w:before="320"/>
      </w:pPr>
      <w:r>
        <w:rPr>
          <w:rFonts w:ascii="Trebuchet MS" w:cs="Trebuchet MS" w:eastAsia="Trebuchet MS" w:hAnsi="Trebuchet MS"/>
          <w:b/>
          <w:bCs/>
          <w:color w:val="C00000"/>
          <w:sz w:val="26"/>
          <w:szCs w:val="26"/>
        </w:rPr>
        <w:t xml:space="preserve">10. ENQUADRAMENTO NORMATIVO</w:t>
      </w:r>
    </w:p>
    <w:p>
      <w:pPr>
        <w:spacing w:after="16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A presente operação observa, entre outras, as disposições das seguintes normas internas [</w:t>
      </w: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CONFERIR VIGÊNCIA/APLICABILIDADE</w:t>
      </w: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]: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3102-03-04 — Carta Consulta;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3102-03-10 — Responsabilidade pela Operacionalização das Propostas de Crédito;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1101-04-13 — Programa de Crédito e Enquadramento;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1101-11-08 — Parâmetros de Composição de Garantias;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Trebuchet MS" w:cs="Trebuchet MS" w:eastAsia="Trebuchet MS" w:hAnsi="Trebuchet MS"/>
          <w:color w:val="C00000"/>
          <w:sz w:val="22"/>
          <w:szCs w:val="22"/>
        </w:rPr>
        <w:t xml:space="preserve">1101-12-03 — Alçada Decisória.</w:t>
      </w:r>
    </w:p>
    <w:p>
      <w:pPr>
        <w:spacing w:after="240" w:before="480"/>
      </w:pPr>
      <w:r>
        <w:rPr>
          <w:rFonts w:ascii="Trebuchet MS" w:cs="Trebuchet MS" w:eastAsia="Trebuchet MS" w:hAnsi="Trebuchet MS"/>
          <w:sz w:val="22"/>
          <w:szCs w:val="22"/>
        </w:rPr>
        <w:t xml:space="preserve">São Mateus/ES, ____ de ____________ de 2026.</w:t>
      </w:r>
    </w:p>
    <w:p>
      <w:pPr>
        <w:spacing w:after="40" w:before="480"/>
        <w:jc w:val="center"/>
      </w:pPr>
      <w:r>
        <w:rPr>
          <w:rFonts w:ascii="Trebuchet MS" w:cs="Trebuchet MS" w:eastAsia="Trebuchet MS" w:hAnsi="Trebuchet MS"/>
          <w:sz w:val="22"/>
          <w:szCs w:val="22"/>
        </w:rPr>
        <w:t xml:space="preserve">___________________________________</w:t>
      </w:r>
    </w:p>
    <w:p>
      <w:pPr>
        <w:spacing w:after="40"/>
        <w:jc w:val="center"/>
      </w:pP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[NOME — MATRÍCULA]</w:t>
      </w:r>
    </w:p>
    <w:p>
      <w:pPr>
        <w:spacing w:after="240"/>
        <w:jc w:val="center"/>
      </w:pPr>
      <w:r>
        <w:rPr>
          <w:rFonts w:ascii="Trebuchet MS" w:cs="Trebuchet MS" w:eastAsia="Trebuchet MS" w:hAnsi="Trebuchet MS"/>
          <w:sz w:val="22"/>
          <w:szCs w:val="22"/>
        </w:rPr>
        <w:t xml:space="preserve">Gerente de Relacionamento</w:t>
      </w:r>
    </w:p>
    <w:p>
      <w:pPr>
        <w:spacing w:after="40" w:before="240"/>
        <w:jc w:val="center"/>
      </w:pPr>
      <w:r>
        <w:rPr>
          <w:rFonts w:ascii="Trebuchet MS" w:cs="Trebuchet MS" w:eastAsia="Trebuchet MS" w:hAnsi="Trebuchet MS"/>
          <w:sz w:val="22"/>
          <w:szCs w:val="22"/>
        </w:rPr>
        <w:t xml:space="preserve">___________________________________</w:t>
      </w:r>
    </w:p>
    <w:p>
      <w:pPr>
        <w:spacing w:after="40"/>
        <w:jc w:val="center"/>
      </w:pPr>
      <w:r>
        <w:rPr>
          <w:rFonts w:ascii="Trebuchet MS" w:cs="Trebuchet MS" w:eastAsia="Trebuchet MS" w:hAnsi="Trebuchet MS"/>
          <w:b/>
          <w:bCs/>
          <w:color w:val="C00000"/>
          <w:sz w:val="22"/>
          <w:szCs w:val="22"/>
        </w:rPr>
        <w:t xml:space="preserve">[NOME — MATRÍCULA]</w:t>
      </w:r>
    </w:p>
    <w:p>
      <w:pPr>
        <w:jc w:val="center"/>
      </w:pPr>
      <w:r>
        <w:rPr>
          <w:rFonts w:ascii="Trebuchet MS" w:cs="Trebuchet MS" w:eastAsia="Trebuchet MS" w:hAnsi="Trebuchet MS"/>
          <w:sz w:val="22"/>
          <w:szCs w:val="22"/>
        </w:rPr>
        <w:t xml:space="preserve">Gerente de Agência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rebuchet MS" w:cs="Trebuchet MS" w:eastAsia="Trebuchet MS" w:hAnsi="Trebuchet M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2026-08-05T16:40:15.613Z</dcterms:created>
  <dcterms:modified xsi:type="dcterms:W3CDTF">2026-08-05T16:40:15.633Z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