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Trebuchet MS" w:cs="Trebuchet MS" w:eastAsia="Trebuchet MS" w:hAnsi="Trebuchet MS"/>
          <w:b/>
          <w:bCs/>
          <w:sz w:val="26"/>
          <w:szCs w:val="26"/>
        </w:rPr>
        <w:t xml:space="preserve">PEDREIRA CIPREM — SÃO MATEUS/ES</w:t>
      </w:r>
    </w:p>
    <w:p>
      <w:pPr>
        <w:spacing w:after="120"/>
        <w:jc w:val="center"/>
      </w:pPr>
      <w:r>
        <w:rPr>
          <w:rFonts w:ascii="Trebuchet MS" w:cs="Trebuchet MS" w:eastAsia="Trebuchet MS" w:hAnsi="Trebuchet MS"/>
          <w:i/>
          <w:iCs/>
          <w:color w:val="555555"/>
          <w:sz w:val="18"/>
          <w:szCs w:val="18"/>
        </w:rPr>
        <w:t xml:space="preserve">Reserva mineral × prazo do financiamento — pontos para definirmos antes do protocolo · Projet Consultoria · agosto/2026</w:t>
      </w:r>
    </w:p>
    <w:p>
      <w:pPr>
        <w:spacing w:after="60" w:before="130"/>
      </w:pPr>
      <w:r>
        <w:rPr>
          <w:rFonts w:ascii="Trebuchet MS" w:cs="Trebuchet MS" w:eastAsia="Trebuchet MS" w:hAnsi="Trebuchet MS"/>
          <w:b/>
          <w:bCs/>
          <w:color w:val="1F3B5C"/>
          <w:sz w:val="20"/>
          <w:szCs w:val="20"/>
        </w:rPr>
        <w:t xml:space="preserve">1 · O QUE JÁ ESTÁ APROVADO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rebuchet MS" w:cs="Trebuchet MS" w:eastAsia="Trebuchet MS" w:hAnsi="Trebuchet MS"/>
          <w:sz w:val="19"/>
          <w:szCs w:val="19"/>
        </w:rPr>
        <w:t xml:space="preserve">Registro de Licença ANM nº 8/2021 (processo 896.624/2013): extração de 8.000 m³/mês de rocha — válido até 31/08/2029.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rebuchet MS" w:cs="Trebuchet MS" w:eastAsia="Trebuchet MS" w:hAnsi="Trebuchet MS"/>
          <w:sz w:val="19"/>
          <w:szCs w:val="19"/>
        </w:rPr>
        <w:t xml:space="preserve">Licença de Instalação IEMA nº 000478/2025-D — válida até 16/10/2029.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rebuchet MS" w:cs="Trebuchet MS" w:eastAsia="Trebuchet MS" w:hAnsi="Trebuchet MS"/>
          <w:sz w:val="19"/>
          <w:szCs w:val="19"/>
        </w:rPr>
        <w:t xml:space="preserve">Reserva medida no PAE (2019): 480.591 m³ (~1,3 milhão de toneladas). A cubagem cobriu apenas o afloramento (~10 m) — nada abaixo da praça foi medido.</w:t>
      </w:r>
    </w:p>
    <w:p>
      <w:pPr>
        <w:spacing w:after="60" w:before="130"/>
      </w:pPr>
      <w:r>
        <w:rPr>
          <w:rFonts w:ascii="Trebuchet MS" w:cs="Trebuchet MS" w:eastAsia="Trebuchet MS" w:hAnsi="Trebuchet MS"/>
          <w:b/>
          <w:bCs/>
          <w:color w:val="1F3B5C"/>
          <w:sz w:val="20"/>
          <w:szCs w:val="20"/>
        </w:rPr>
        <w:t xml:space="preserve">2 · O PONTO DE ATENÇÃO</w:t>
      </w:r>
    </w:p>
    <w:p>
      <w:pPr>
        <w:spacing w:after="70"/>
      </w:pPr>
      <w:r>
        <w:rPr>
          <w:rFonts w:ascii="Trebuchet MS" w:cs="Trebuchet MS" w:eastAsia="Trebuchet MS" w:hAnsi="Trebuchet MS"/>
          <w:sz w:val="19"/>
          <w:szCs w:val="19"/>
        </w:rPr>
        <w:t xml:space="preserve">O ritmo mensal aprovado é suficiente. A questão é o </w:t>
      </w:r>
      <w:r>
        <w:rPr>
          <w:rFonts w:ascii="Trebuchet MS" w:cs="Trebuchet MS" w:eastAsia="Trebuchet MS" w:hAnsi="Trebuchet MS"/>
          <w:b/>
          <w:bCs/>
          <w:sz w:val="19"/>
          <w:szCs w:val="19"/>
        </w:rPr>
        <w:t xml:space="preserve">estoque documentado</w:t>
      </w:r>
      <w:r>
        <w:rPr>
          <w:rFonts w:ascii="Trebuchet MS" w:cs="Trebuchet MS" w:eastAsia="Trebuchet MS" w:hAnsi="Trebuchet MS"/>
          <w:sz w:val="19"/>
          <w:szCs w:val="19"/>
        </w:rPr>
        <w:t xml:space="preserve">: o plano de produção consome ~1,0 milhão de m³ nos 14 anos do financiamento, e a reserva registrada cobre ~48% disso — no ritmo pleno, o papel diz que a jazida acaba no </w:t>
      </w:r>
      <w:r>
        <w:rPr>
          <w:rFonts w:ascii="Trebuchet MS" w:cs="Trebuchet MS" w:eastAsia="Trebuchet MS" w:hAnsi="Trebuchet MS"/>
          <w:b/>
          <w:bCs/>
          <w:sz w:val="19"/>
          <w:szCs w:val="19"/>
        </w:rPr>
        <w:t xml:space="preserve">ano 8</w:t>
      </w:r>
      <w:r>
        <w:rPr>
          <w:rFonts w:ascii="Trebuchet MS" w:cs="Trebuchet MS" w:eastAsia="Trebuchet MS" w:hAnsi="Trebuchet MS"/>
          <w:sz w:val="19"/>
          <w:szCs w:val="19"/>
        </w:rPr>
        <w:t xml:space="preserve">. O banco cruza reserva comprovada × prazo do contrato. Boa notícia já confirmada na ANM (consulta oficial de 05/08/2026): o Relatório Final de Pesquisa do maciço foi </w:t>
      </w:r>
      <w:r>
        <w:rPr>
          <w:rFonts w:ascii="Trebuchet MS" w:cs="Trebuchet MS" w:eastAsia="Trebuchet MS" w:hAnsi="Trebuchet MS"/>
          <w:b/>
          <w:bCs/>
          <w:sz w:val="19"/>
          <w:szCs w:val="19"/>
        </w:rPr>
        <w:t xml:space="preserve">aprovado em 07/08/2017</w:t>
      </w:r>
      <w:r>
        <w:rPr>
          <w:rFonts w:ascii="Trebuchet MS" w:cs="Trebuchet MS" w:eastAsia="Trebuchet MS" w:hAnsi="Trebuchet MS"/>
          <w:sz w:val="19"/>
          <w:szCs w:val="19"/>
        </w:rPr>
        <w:t xml:space="preserve"> e a CIPREM é titular do processo — falta apenas obter a cópia (item 2) e, em paralelo, a sondagem (item 1). Resolver isso vira argumento a favor do pleito.</w:t>
      </w:r>
    </w:p>
    <w:p>
      <w:pPr>
        <w:spacing w:after="60" w:before="130"/>
      </w:pPr>
      <w:r>
        <w:rPr>
          <w:rFonts w:ascii="Trebuchet MS" w:cs="Trebuchet MS" w:eastAsia="Trebuchet MS" w:hAnsi="Trebuchet MS"/>
          <w:b/>
          <w:bCs/>
          <w:color w:val="1F3B5C"/>
          <w:sz w:val="20"/>
          <w:szCs w:val="20"/>
        </w:rPr>
        <w:t xml:space="preserve">3 · PERGUNTAS / DECISÕES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B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pct" w:w="67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B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Pergunta / decisão</w:t>
            </w:r>
          </w:p>
        </w:tc>
        <w:tc>
          <w:tcPr>
            <w:tcW w:type="pct" w:w="2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B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Resposta · responsável · prazo</w:t>
            </w:r>
          </w:p>
        </w:tc>
      </w:tr>
      <w:tr>
        <w:tc>
          <w:tcPr>
            <w:tcW w:type="pct" w:w="5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pct" w:w="67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Sondagem da bancada inferior (caminho mais rápido): autorizam 3–5 furos para cubar mais uma bancada de 10 m abaixo da praça? Acrescenta ~408 mil m³ (total ~889 mil — cobre 12 anos de plano). Prazo típico 60–90 dias; a topografia/ortofoto de 2026 já está pronta. Qual engenheiro de minas assume a sondagem e o aditivo do PAE?</w:t>
            </w:r>
          </w:p>
        </w:tc>
        <w:tc>
          <w:tcPr>
            <w:tcW w:type="pct" w:w="2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5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pct" w:w="67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Cópia do RFP: a ANM APROVOU o Relatório Final de Pesquisa do processo-mãe 896.059/2012 em 07/08/2017 (97,22 ha de granito — confirmado na consulta oficial de 05/08/2026). Quem tem a cópia? O consultor mineral (os autos registram vários pedidos de vista/cópia por procurador)? Se ninguém tiver, autorizam pedir via SEI-ANM? Custo ~zero; tende a fechar a folga dos 14 anos.</w:t>
            </w:r>
          </w:p>
        </w:tc>
        <w:tc>
          <w:tcPr>
            <w:tcW w:type="pct" w:w="2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5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pct" w:w="67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Servidão minerária (família Caffeu): o contrato permite ampliar a poligonal de lavra se a sondagem indicar rocha além da área atual? Qual o prazo de vigência e a regra de renovação?</w:t>
            </w:r>
          </w:p>
        </w:tc>
        <w:tc>
          <w:tcPr>
            <w:tcW w:type="pct" w:w="2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5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pct" w:w="67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Ampliação futura da licença (ritmo): quando as vendas sustentarem ~70% do teto, iniciamos a ampliação de 8.000 para até ~12.100 m³/mês (+51%, mantém o porte; processo de 12–24 meses no IEMA/ANM)?</w:t>
            </w:r>
          </w:p>
        </w:tc>
        <w:tc>
          <w:tcPr>
            <w:tcW w:type="pct" w:w="2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5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pct" w:w="67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Segunda frente: o próprio 896.059/2012 — 48,4 ha contíguos da CIPREM, em Requerimento de Lavra desde 07/08/2018 (parado na ANM desde 2020) — como pretendem conduzi-lo (pedido de andamento, PAE de lavra, licenciamento)? Obs.: o processo 896.516/2012, citado no documento interno como da CIPREM (~58 ha), na verdade pertence à Ecoareia Comércio de Areia Ltda (563 ha) — o que o documento quis dizer? Há negociação com a Ecoareia? E as áreas Faz. Alvorada II e “Marchiori”?</w:t>
            </w:r>
          </w:p>
        </w:tc>
        <w:tc>
          <w:tcPr>
            <w:tcW w:type="pct" w:w="2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5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pct" w:w="67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Renovação: quem cuidará da renovação do Registro de Licença nº 8/2021, que vence em 31/08/2029 — no meio do prazo do financiamento? (Ponto positivo já confirmado: RAL 2024, 2025 e 2026 apresentados em dia.)</w:t>
            </w:r>
          </w:p>
        </w:tc>
        <w:tc>
          <w:tcPr>
            <w:tcW w:type="pct" w:w="28%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 </w:t>
            </w:r>
          </w:p>
        </w:tc>
      </w:tr>
    </w:tbl>
    <w:p>
      <w:pPr>
        <w:spacing w:after="60" w:before="130"/>
      </w:pPr>
      <w:r>
        <w:rPr>
          <w:rFonts w:ascii="Trebuchet MS" w:cs="Trebuchet MS" w:eastAsia="Trebuchet MS" w:hAnsi="Trebuchet MS"/>
          <w:b/>
          <w:bCs/>
          <w:color w:val="1F3B5C"/>
          <w:sz w:val="20"/>
          <w:szCs w:val="20"/>
        </w:rPr>
        <w:t xml:space="preserve">4 · RESUMO EM UMA LINHA</w:t>
      </w:r>
    </w:p>
    <w:p>
      <w:pPr>
        <w:spacing w:after="70"/>
      </w:pPr>
      <w:r>
        <w:rPr>
          <w:rFonts w:ascii="Trebuchet MS" w:cs="Trebuchet MS" w:eastAsia="Trebuchet MS" w:hAnsi="Trebuchet MS"/>
          <w:i/>
          <w:iCs/>
          <w:sz w:val="19"/>
          <w:szCs w:val="19"/>
        </w:rPr>
        <w:t xml:space="preserve">“O papel diz 8 anos e o financiamento pede 14: a sondagem (60–90 dias) e a cópia do RFP resolvem — quem assume cada um, e até quando?”</w:t>
      </w:r>
    </w:p>
    <w:sectPr>
      <w:pgSz w:w="11906" w:h="16838" w:orient="portrait"/>
      <w:pgMar w:top="620" w:right="850" w:bottom="6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2026-08-05T21:54:18.266Z</dcterms:created>
  <dcterms:modified xsi:type="dcterms:W3CDTF">2026-08-05T21:54:18.280Z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