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 w:rsidRPr="00C3733B">
        <w:rPr>
          <w:color w:val="EE0000"/>
        </w:rPr>
        <w:t>O empreendimento compreende planta de britagem de 170–180 toneladas/hora — britadores Metso (mandíbulas C117 e cônico HP350e) — com produção estimada crescente: de ~3.500 m³/mês de produto no 1º ano de operação até ~12.000 m³/mês a partir do 3º ano, dentro do teto licenciado, amparado pelo Registro de Licença ANM nº 8/2021 (validade até 31/08/2029) e pela Licença de Instalação IEMA nº 000478/2025-D (válida até 16/10/2029).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São Mateus é o município mais populoso do norte do Espírito Santo (134,4 mil habitantes — IBGE, estimativa 2025; 8º do Estado) e polo regional de comércio e serviços. O mercado-base do empreendimento — definido pelo raio econômico do frete e pela posição real dos concorrentes, conforme o Estudo de Mercado anexo — é o núcleo de quatro municípios onde a jazida tem vantagem logística clara: São Mateus, Jaguaré, Boa Esperança e Conceição da Barra, que somam ~208 mil habitantes (IBGE, estimativas 2025 e Censo 2022). A demanda corrente de brita nesse núcleo é estimada entre 275 e 350 mil t/ano: na sede (215–230 mil t/ano), pelo consumo efetivo de brita no Espírito Santo apurado nas vendas declaradas à ANM (RAL), de 1,6–1,7 t/hab/ano em 2024–2025, convergente com o parâmetro setorial da ANEPAC; nos demais municípios, aplicada, por conservadorismo, metade do índice estadual, dado o perfil rural. Há ainda potencial secundário, não incluído nas projeções: Pedro Canário e a franja norte do Estado (Montanha, Mucurici e Ponto Belo), ~53 mil habitantes sem nenhum produtor de brita instalado, e — em atuação apenas oportunística — as praças de Nova Venécia e Pinheiros, sedes de concorrentes estabelecidos.</w:t>
      </w:r>
      <w:proofErr w:type="spellStart"/>
      <w:r>
        <w:rPr>
          <w:color w:val="C00000"/>
        </w:rPr>
      </w:r>
      <w:proofErr w:type="spellEnd"/>
      <w:r>
        <w:rPr>
          <w:color w:val="C00000"/>
        </w:rPr>
      </w:r>
    </w:p>
    <w:p w14:paraId="74720E3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oferta instalada confirma a lacuna: não há extração de brita ativa em São Mateus — a presença concorrente na cidade limita-se a um pátio de beneficiamento e distribuição de pedreira sediada em Pinheiros (~70 km) — e, dentro do núcleo, o único produtor é uma operação de pequena escala em Jaguaré (~40 km da sede), com vendas da ordem de 5 mil t em 2025 pela base de arrecadação da CFEM (ANM, granito/ES). Os produtores de porte operam longe: o maior da região a ~73 km (unidade em Rio Bananal, ~360 mil t/ano) e os demais a 60–70 km (Nova Venécia e Pinheiros), com parte do suprimento vindo do eixo Linhares–Aracruz (85–140 km). A jazida da CIPREM está a ~35 km da sede — e a ~25 km de Boa Esperança: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 xml:space="preserve"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70–100 mil t/ano de demanda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representa da ordem de 1 milhão de m² de vias — acima de 1 milhão de toneladas de agregados ao longo dos próximos anos, das quais as projeções contabilizam, conservadoramente, apenas 75–90 mil t.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>
      <w:pPr>
        <w:spacing w:after="160"/>
        <w:jc w:val="both"/>
      </w:pPr>
      <w:r>
        <w:t>Em síntese, as camadas somadas configuram, durante a janela de obras, uma demanda da ordem de 345 a 450 mil t/ano de brita no núcleo de quatro municípios (275–350 mil t/ano correntes + 70–100 mil t/ano extraordinárias), atendida hoje por uma única operação local de ~5 mil t/ano — todo o restante importado de 60 a 140 km, com frete embutido no preço. Frente a esse mercado, o platô do projeto (216 mil t/ano, 82% do teto licenciado) equivale a 62–79% apenas da demanda corrente — a receita de regime não depende do ciclo extraordinário de obras. Às obras cabe outro papel: coincidem com a carência e o ramp-up (anos 1–3, vendas de 63 a 180 mil t/ano), absorvendo a produção inicial justamente no período de maturação comercial. Mercado estruturalmente deficitário, vantagem logística e cronologia favorável compõem um quadro de baixo risco de demanda para o financiamento pleiteado.</w:t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