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 O estudo passou ainda por</w:t>
      </w:r>
      <w:r>
        <w:t xml:space="preserve"> </w:t>
      </w:r>
      <w:r>
        <w:rPr>
          <w:bCs/>
          <w:b/>
        </w:rPr>
        <w:t xml:space="preserve">auditoria interna de consistência</w:t>
      </w:r>
      <w:r>
        <w:t xml:space="preserve">: todos os números derivados foram recalculados por script e estão documentados, fórmula a fórmula, no</w:t>
      </w:r>
      <w:r>
        <w:t xml:space="preserve"> </w:t>
      </w:r>
      <w:r>
        <w:rPr>
          <w:bCs/>
          <w:b/>
        </w:rPr>
        <w:t xml:space="preserve">Apêndice A — Memória de Cálculo</w:t>
      </w:r>
      <w:r>
        <w:t xml:space="preserve">; a rastreabilidade afirmação-a-fonte consta do arquivo anexo de auditoria de fontes. Onde um parâmetro não possui fonte pública, o texto o declara explicitamente como premissa técnica e apresenta a sensibilidade do resultado a ela.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— um caminhão truck de carga útil de 13–14 t transporta cerca de 1.100 a 1.180 blocos de 14 cm (~11,9 kg cada [44]) —,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(tráfego leve) ou 50 MPa (tráfego pesado),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4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ou superior à do bloco inteiro correspondente; pavers de 8 e 10 cm produzem o mesmo nº de bandejas/hora com maior consumo de concreto por m²;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projeto; (iv) os valores desta tabela são nominais por turno — o §3.7 converte calendário real e paradas obrigatórias em capacidade efetiva anual.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End w:id="34"/>
    <w:bookmarkStart w:id="35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A prática recomendada é organizar a semana em blocos de produção (por exemplo: 3 dias de bloco 14, 1 dia de bloco 9/canaleta, 1 dia de paver) e usar o estoque como pulmão, em vez de trocar o molde várias vezes ao dia.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5"/>
    <w:bookmarkStart w:id="36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6"/>
    <w:bookmarkStart w:id="37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7"/>
    <w:bookmarkStart w:id="38" w:name="Xca9cd144e693cd6efdb820ed6a22dcd5630a032"/>
    <w:p>
      <w:pPr>
        <w:pStyle w:val="Heading2"/>
      </w:pPr>
      <w:r>
        <w:t xml:space="preserve">3.7 Da capacidade nominal à capacidade efetiva: feriados e paradas obrigatórias</w:t>
      </w:r>
    </w:p>
    <w:p>
      <w:pPr>
        <w:pStyle w:val="FirstParagraph"/>
      </w:pPr>
      <w:r>
        <w:t xml:space="preserve">Nenhuma fábrica produz todos os dias úteis do calendário — e um plano que finge o contrário perde credibilidade. Esta seção converte a capacidade nominal em</w:t>
      </w:r>
      <w:r>
        <w:t xml:space="preserve"> </w:t>
      </w:r>
      <w:r>
        <w:rPr>
          <w:bCs/>
          <w:b/>
        </w:rPr>
        <w:t xml:space="preserve">capacidade efetiva</w:t>
      </w:r>
      <w:r>
        <w:t xml:space="preserve">, descontando, com fontes, tudo o que obrigatoriamente para uma planta de vibroprensagem: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 da cascata (base: ano de 2027,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Critério/fonte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Dias úteis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oficial de 2027 (13 feriados nacionais) [141]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Feriados estadual e municipais em dia útil: N. Sra. da Penha (móvel), 21/09 (padroeiro/aniversário de São Mateus) e 27/12 (São Benedito)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→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municipal [142]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Manutenção preventiva programada: rotina por turno de limpeza e lubrificação de colunas, molde e painel + preventiva semanal (2–4 h: lubrificação geral, inspeções NR-12, apertos) + mensal (8 h: chapas de desgaste, hidráulica, misturador)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rotinas recomendadas pelos fabricantes de vibroprensas [145][146]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Trocas de molde do mix (2–3 por semana × 15–20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Gervasi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 anual de revisão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prática industrial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Paradas não planejadas — corretivas, queda de energia rural, atraso de insumo, absenteísmo (6% do tempo programável)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de disponibilidade OEE [143][144]; premissa conservadora para planta nova em garantia, com silo de 90 t, estoque de agregados e 95% das peças de reposição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(×) Qualidade: refugo máximo de 2% (meta do cap.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equiv.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interna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Dias efetivos de produção vendável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≈210/ano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 métrica industrial padrão (OEE — Overall Equipment Effectiveness), o plano embute</w:t>
      </w:r>
      <w:r>
        <w:t xml:space="preserve"> </w:t>
      </w:r>
      <w:r>
        <w:rPr>
          <w:bCs/>
          <w:b/>
        </w:rPr>
        <w:t xml:space="preserve">disponibilidade de 86% × performance de 90% (o fator que a própria Gervasi já desconta no ritmo de 7.020 blocos/turno) × qualidade de 98% ≈ OEE de 76%</w:t>
      </w:r>
      <w:r>
        <w:t xml:space="preserve"> </w:t>
      </w:r>
      <w:r>
        <w:t xml:space="preserve">— posição intermediária entre a média da indústria brasileira (~60% [144]) e o padrão classe mundial (85%, com disponibilidade ≥90% [143]). É um nível realista para uma planta automática nova; se a operação atingir disciplina classe mundial, os dias efetivos sobem e toda a folga vira potencial adicional.</w:t>
      </w:r>
    </w:p>
    <w:p>
      <w:pPr>
        <w:pStyle w:val="BodyText"/>
      </w:pPr>
      <w:r>
        <w:rPr>
          <w:bCs/>
          <w:b/>
        </w:rPr>
        <w:t xml:space="preserve">Conclusão operacional</w:t>
      </w:r>
      <w:r>
        <w:t xml:space="preserve">: a capacidade que vale para o plano de negócios não é a nominal de 264 dias-padrão, e sim</w:t>
      </w:r>
      <w:r>
        <w:t xml:space="preserve"> </w:t>
      </w:r>
      <w:r>
        <w:rPr>
          <w:bCs/>
          <w:b/>
        </w:rPr>
        <w:t xml:space="preserve">≈210 dias efetivos/ano</w:t>
      </w:r>
      <w:r>
        <w:t xml:space="preserve"> </w:t>
      </w:r>
      <w:r>
        <w:t xml:space="preserve">— é contra ela que os capítulos 5 e 13 medem utilização, ponto de equilíbrio e folga.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análise-do-macroambiente"/>
    <w:p>
      <w:pPr>
        <w:pStyle w:val="Heading1"/>
      </w:pPr>
      <w:r>
        <w:t xml:space="preserve">4. ANÁLISE DO MACROAMBIENTE</w:t>
      </w:r>
    </w:p>
    <w:bookmarkStart w:id="40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[18], com consumo aparente de 64,8 milhões de toneladas (+4,1%) [19], e fecharam 2025 em cerca de 67 milhões de toneladas comercializadas, alta de 3,7% [20], recuperando as perdas de 2022–2023. Para a indústria de blocos de concreto, a entidade setorial BlocoBrasil dimensionou, em pesquisa de março de 2013, a capacidade instalada nacional em torno de 100 milhões de blocos/mês [21] — referência histórica que ilustra a escala industrial do segmento —, e projeções de mercado independentes indicam crescimento na casa de 4 a 6% ao ano para blocos e pavimentos intertravados nesta década 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 de contratações: o Governo Federal contratou no Espírito Santo 18,06 mil unidades entre 2023 e 2025, com investimento de R$ 2,62 bilhões [24]. Cada casa térrea típica de 41–60 m² consome da ordem de 2,2 mil a 3 mil blocos — ou seja, apenas as ~3,8 mil unidades concluídas por ano no estado [25] representariam demanda potencial máxima da ordem de 8 a 11 milhões de blocos/ano no ES (premissa de teto: totalidade das obras em alvenaria de blocos de concreto; na prática o sistema responde por uma parcela — ainda assim contada em milhões de unidades).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40"/>
    <w:bookmarkStart w:id="41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1"/>
    <w:bookmarkStart w:id="42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produção industrial capixaba cresceu 20,2% no 1º semestre de 2026 frente ao mesmo período de 2025 (PIM-PF/IBGE) — o maior avanço do país, contra média nacional de +1,5% —, puxada pelo petróleo e gás [40][131].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2"/>
    <w:bookmarkStart w:id="43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mercado-alvo-e-área-de-influência"/>
    <w:p>
      <w:pPr>
        <w:pStyle w:val="Heading1"/>
      </w:pPr>
      <w:r>
        <w:t xml:space="preserve">5. MERCADO-ALVO E ÁREA DE INFLUÊNCIA</w:t>
      </w:r>
    </w:p>
    <w:bookmarkStart w:id="45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5"/>
    <w:bookmarkStart w:id="46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(mesmo em carreta de 25–30 t, o percurso de ida e volta de ~400 km adiciona R$ 1,30–1,90 por bloco trazido da Grande Vitória — memória no cap. 9.2).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6"/>
    <w:bookmarkStart w:id="47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 (validação cruzada).</w:t>
      </w:r>
      <w:r>
        <w:t xml:space="preserve"> </w:t>
      </w:r>
      <w:r>
        <w:t xml:space="preserve">O consumo per capita de cimento no Brasil é da ordem de</w:t>
      </w:r>
      <w:r>
        <w:t xml:space="preserve"> </w:t>
      </w:r>
      <w:r>
        <w:rPr>
          <w:bCs/>
          <w:b/>
        </w:rPr>
        <w:t xml:space="preserve">280 kg/hab/ano</w:t>
      </w:r>
      <w:r>
        <w:t xml:space="preserve"> </w:t>
      </w:r>
      <w:r>
        <w:t xml:space="preserve">[138].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~42,8 mil t de cimento/ano</w:t>
      </w:r>
      <w:r>
        <w:t xml:space="preserve">. A fração desse cimento destinada a artefatos vibroprensados não é publicada por SNIC/ABCP — a literatura oficial detalha apenas a estrutura de canais do mercado de cimento [134] e o panorama do concreto [61] —, de modo que este estudo adota</w:t>
      </w:r>
      <w:r>
        <w:t xml:space="preserve"> </w:t>
      </w:r>
      <w:r>
        <w:rPr>
          <w:bCs/>
          <w:b/>
        </w:rPr>
        <w:t xml:space="preserve">premissa técnica declarada de 8% a 15%, com cenário central de 12%</w:t>
      </w:r>
      <w:r>
        <w:t xml:space="preserve">. O resultado — 3,4 a 6,4 mil t/ano de cimento em artefatos, equivalentes a</w:t>
      </w:r>
      <w:r>
        <w:t xml:space="preserve"> </w:t>
      </w:r>
      <w:r>
        <w:rPr>
          <w:bCs/>
          <w:b/>
        </w:rPr>
        <w:t xml:space="preserve">3,4 a 6,4 milhões de blocos-equivalentes/ano</w:t>
      </w:r>
      <w:r>
        <w:t xml:space="preserve"> </w:t>
      </w:r>
      <w:r>
        <w:t xml:space="preserve">(a ~1,0 kg de cimento por bloco) — funciona como teste de razoabilidade do Método B, que lidera o dimensionamento por ser construído com dados locais verificáveis (memória de cálculo no Apêndice A).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mapeado no capítulo 8 — só o convênio estadual em execução em São Mateus soma 26 ruas com</w:t>
      </w:r>
      <w:r>
        <w:t xml:space="preserve"> </w:t>
      </w:r>
      <w:r>
        <w:rPr>
          <w:bCs/>
          <w:b/>
        </w:rPr>
        <w:t xml:space="preserve">mais de 32 mil m² de pavimentação em blocos e 10 km de meio-fio de concreto</w:t>
      </w:r>
      <w:r>
        <w:t xml:space="preserve"> </w:t>
      </w:r>
      <w:r>
        <w:t xml:space="preserve">[67][135]; registro de preços municipal ativo de pavimentação em sextavado [68][69]; 13 ruas em Jaguaré [28]; 9 ruas em São Gabriel da Palha [70]; obras em Boa Esperança [71]; e o braço Calçamento Rural do programa estadual, no qual</w:t>
      </w:r>
      <w:r>
        <w:t xml:space="preserve"> </w:t>
      </w:r>
      <w:r>
        <w:rPr>
          <w:bCs/>
          <w:b/>
        </w:rPr>
        <w:t xml:space="preserve">o próprio Estado (SEAG) fornece os blocos intertravados e meios-fios às prefeituras</w:t>
      </w:r>
      <w:r>
        <w:t xml:space="preserve"> </w:t>
      </w:r>
      <w:r>
        <w:t xml:space="preserve">[136] — anualizado de forma conservadora (pacotes plurianuais divididos por 2–3 anos de execução), sustenta demanda pública de</w:t>
      </w:r>
      <w:r>
        <w:t xml:space="preserve"> </w:t>
      </w:r>
      <w:r>
        <w:rPr>
          <w:bCs/>
          <w:b/>
        </w:rPr>
        <w:t xml:space="preserve">40 a 90 mil m² de piso intertravado/sextavado por ano</w:t>
      </w:r>
      <w:r>
        <w:t xml:space="preserve"> </w:t>
      </w:r>
      <w:r>
        <w:t xml:space="preserve">na área de influência e municípios limítrofes, à qual se somam</w:t>
      </w:r>
      <w:r>
        <w:t xml:space="preserve"> </w:t>
      </w:r>
      <w:r>
        <w:rPr>
          <w:bCs/>
          <w:b/>
        </w:rPr>
        <w:t xml:space="preserve">20 a 40 mil m²/ano de obras privadas</w:t>
      </w:r>
      <w:r>
        <w:t xml:space="preserve"> </w:t>
      </w:r>
      <w:r>
        <w:t xml:space="preserve">(calçadas, condomínios, pátios comerciais),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7"/>
    <w:bookmarkStart w:id="48" w:name="Xd79c6b44d8f8ddfe0d272a2477631e71eeac042"/>
    <w:p>
      <w:pPr>
        <w:pStyle w:val="Heading2"/>
      </w:pPr>
      <w:r>
        <w:t xml:space="preserve">5.4 Plano de vendas: mix pela absorção do mercado e teto de receita de pequena empresa</w:t>
      </w:r>
    </w:p>
    <w:p>
      <w:pPr>
        <w:pStyle w:val="FirstParagraph"/>
      </w:pPr>
      <w:r>
        <w:t xml:space="preserve">O plano de vendas foi construído em</w:t>
      </w:r>
      <w:r>
        <w:t xml:space="preserve"> </w:t>
      </w:r>
      <w:r>
        <w:rPr>
          <w:bCs/>
          <w:b/>
        </w:rPr>
        <w:t xml:space="preserve">três passos encadeados</w:t>
      </w:r>
      <w:r>
        <w:t xml:space="preserve">, para que cada quantidade projetada tenha origem rastreável:</w:t>
      </w:r>
    </w:p>
    <w:p>
      <w:pPr>
        <w:pStyle w:val="BodyText"/>
      </w:pPr>
      <w:r>
        <w:rPr>
          <w:bCs/>
          <w:b/>
        </w:rPr>
        <w:t xml:space="preserve">Passo 1 — Quanto a planta consegue produzir de cada produto.</w:t>
      </w:r>
      <w:r>
        <w:t xml:space="preserve"> </w:t>
      </w:r>
      <w:r>
        <w:t xml:space="preserve">É a tabela do §3.3: em dedicação exclusiva, até 1,85 milhão de blocos 14, 2,78 milhões de blocos 9, 1,39 milhão de blocos 19 ou 140 mil m² de paver por ano (nominal, 1 turno).</w:t>
      </w:r>
    </w:p>
    <w:p>
      <w:pPr>
        <w:pStyle w:val="BodyText"/>
      </w:pPr>
      <w:r>
        <w:rPr>
          <w:bCs/>
          <w:b/>
        </w:rPr>
        <w:t xml:space="preserve">Passo 2 — Quanto o mercado absorve de cada produto.</w:t>
      </w:r>
      <w:r>
        <w:t xml:space="preserve"> </w:t>
      </w:r>
      <w:r>
        <w:t xml:space="preserve">A demanda da área de influência não compra os produtos na proporção em que a máquina os produz — compra na proporção das obras. Da análise dos capítulos 5 a 8 derivam as participações de cada família</w:t>
      </w:r>
      <w:r>
        <w:t xml:space="preserve"> </w:t>
      </w:r>
      <w:r>
        <w:rPr>
          <w:bCs/>
          <w:b/>
        </w:rPr>
        <w:t xml:space="preserve">no valor</w:t>
      </w:r>
      <w:r>
        <w:t xml:space="preserve"> </w:t>
      </w:r>
      <w:r>
        <w:t xml:space="preserve">do mercado endereçável:</w:t>
      </w:r>
      <w:r>
        <w:t xml:space="preserve"> </w:t>
      </w:r>
      <w:r>
        <w:rPr>
          <w:bCs/>
          <w:b/>
        </w:rPr>
        <w:t xml:space="preserve">pavimentação intertravada ≈ 25%</w:t>
      </w:r>
      <w:r>
        <w:t xml:space="preserve"> </w:t>
      </w:r>
      <w:r>
        <w:t xml:space="preserve">(os 70–150 mil m²/ano × ~R$ 55 equivalem a R$ 3,9–8,3 milhões, isto é, 24–33% do SAM de R$ 16–25 milhões — adotado o centro);</w:t>
      </w:r>
      <w:r>
        <w:t xml:space="preserve"> </w:t>
      </w:r>
      <w:r>
        <w:rPr>
          <w:bCs/>
          <w:b/>
        </w:rPr>
        <w:t xml:space="preserve">alvenaria estrutural ≈ 30%</w:t>
      </w:r>
      <w:r>
        <w:t xml:space="preserve"> </w:t>
      </w:r>
      <w:r>
        <w:t xml:space="preserve">(bloco 14 estrutural 26% + bloco 19/canaletas 4%), refletindo o peso das obras formais e do MCMV em alvenaria estrutural; e</w:t>
      </w:r>
      <w:r>
        <w:t xml:space="preserve"> </w:t>
      </w:r>
      <w:r>
        <w:rPr>
          <w:bCs/>
          <w:b/>
        </w:rPr>
        <w:t xml:space="preserve">vedação ≈ 45%</w:t>
      </w:r>
      <w:r>
        <w:t xml:space="preserve"> </w:t>
      </w:r>
      <w:r>
        <w:t xml:space="preserve">(bloco 14 vedação 36% + bloco 9 9%), o canal dominante do varejo, dos muros e da autoconstrução no interior. As horas da planta são então alocadas exatamente nessa proporção de mercado — a fábrica produz o que a região compra, não o que a máquina prefere.</w:t>
      </w:r>
    </w:p>
    <w:p>
      <w:pPr>
        <w:pStyle w:val="BodyText"/>
      </w:pPr>
      <w:r>
        <w:rPr>
          <w:bCs/>
          <w:b/>
        </w:rPr>
        <w:t xml:space="preserve">Passo 3 — Escala limitada ao teto de pequena empresa.</w:t>
      </w:r>
      <w:r>
        <w:t xml:space="preserve"> </w:t>
      </w:r>
      <w:r>
        <w:t xml:space="preserve">Sobre esse mix aplica-se um único fator de escala até a receita anual projetada atingir</w:t>
      </w:r>
      <w:r>
        <w:t xml:space="preserve"> </w:t>
      </w:r>
      <w:r>
        <w:rPr>
          <w:bCs/>
          <w:b/>
        </w:rPr>
        <w:t xml:space="preserve">R$ 4.791.000 — deliberadamente abaixo do limite de R$ 4.800.000 da empresa de pequeno porte (LC nº 123/2006, art. 3º, II [139])</w:t>
      </w:r>
      <w:r>
        <w:t xml:space="preserve">. A decisão é estratégica e dupla: (i) conservadorismo bancário — projeta-se vender menos do que se consegue fabricar; (ii) permanência no enquadramento EPP, que independe do regime tributário escolhido e preserva o tratamento diferenciado da empresa, inclusive as condições de porte no crédito FNE [124]. Ultrapassar o teto, no futuro, é decisão consciente de porte e tributação — não acidente de projeção.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mercado 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522.655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R$ 1.724.760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276.813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153.996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 + canaletas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R$ 191.640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21.013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R$ 1.197.750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≈988 mil blocos + 21 mil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utilização (contra a capacidade certa).</w:t>
      </w:r>
      <w:r>
        <w:t xml:space="preserve"> </w:t>
      </w:r>
      <w:r>
        <w:t xml:space="preserve">Os 174,8 dias de produção do plano equivalem a</w:t>
      </w:r>
      <w:r>
        <w:t xml:space="preserve"> </w:t>
      </w:r>
      <w:r>
        <w:rPr>
          <w:bCs/>
          <w:b/>
        </w:rPr>
        <w:t xml:space="preserve">≈83% dos ~210 dias efetivos</w:t>
      </w:r>
      <w:r>
        <w:t xml:space="preserve"> </w:t>
      </w:r>
      <w:r>
        <w:t xml:space="preserve">que a planta realmente tem por ano (§3.7) — e a 66% da referência nominal de 264 dias. Ou seja: no regime, a fábrica opera em ritmo industrial pleno e realista, vendendo menos do que fabrica, com</w:t>
      </w:r>
      <w:r>
        <w:t xml:space="preserve"> </w:t>
      </w:r>
      <w:r>
        <w:rPr>
          <w:bCs/>
          <w:b/>
        </w:rPr>
        <w:t xml:space="preserve">folga de ~35 dias efetivos/ano</w:t>
      </w:r>
      <w:r>
        <w:t xml:space="preserve"> </w:t>
      </w:r>
      <w:r>
        <w:t xml:space="preserve">para picos, atas e encomendas — além das reservas estruturais (2º turno e melhoria de OEE) que ficam fora do plano-base.</w:t>
      </w:r>
    </w:p>
    <w:p>
      <w:pPr>
        <w:pStyle w:val="BodyText"/>
      </w:pPr>
      <w:r>
        <w:rPr>
          <w:bCs/>
          <w:b/>
        </w:rPr>
        <w:t xml:space="preserve">Coerência de absorção (o teste que o mix anterior não passava).</w:t>
      </w:r>
      <w:r>
        <w:t xml:space="preserve"> </w:t>
      </w:r>
      <w:r>
        <w:t xml:space="preserve">As quantidades do plano implicam shares consistentes entre si: ~988 mil blocos =</w:t>
      </w:r>
      <w:r>
        <w:t xml:space="preserve"> </w:t>
      </w:r>
      <w:r>
        <w:rPr>
          <w:bCs/>
          <w:b/>
        </w:rPr>
        <w:t xml:space="preserve">16–25% do mercado regional de 4–6 milhões de blocos-eq/ano</w:t>
      </w:r>
      <w:r>
        <w:t xml:space="preserve">, e 21 mil m² de paver =</w:t>
      </w:r>
      <w:r>
        <w:t xml:space="preserve"> </w:t>
      </w:r>
      <w:r>
        <w:rPr>
          <w:bCs/>
          <w:b/>
        </w:rPr>
        <w:t xml:space="preserve">14–30% do mercado de 70–150 mil m²/ano</w:t>
      </w:r>
      <w:r>
        <w:t xml:space="preserve"> </w:t>
      </w:r>
      <w:r>
        <w:t xml:space="preserve">— participações compatíveis com a posição de único fabricante industrial-certificável do raio de ~150 km, sem exigir domínio irrealista de nenhum segmento.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 (R$ 5,76 mi — §3.7)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teto EPP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R$ 2,6–2,9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54–61%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R$ 3,8–3,9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66–68%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79–81%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de folga (fora do 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efetiva 1 turno R$ 5,76 mi · nominal R$ 7,24 mi · 2º turno ~dobra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ramp-up exige shares de mercado de 10–18% (ano 1) e o regime de</w:t>
      </w:r>
      <w:r>
        <w:t xml:space="preserve"> </w:t>
      </w:r>
      <w:r>
        <w:rPr>
          <w:bCs/>
          <w:b/>
        </w:rPr>
        <w:t xml:space="preserve">19–30% do SAM</w:t>
      </w:r>
      <w:r>
        <w:t xml:space="preserve"> </w:t>
      </w:r>
      <w:r>
        <w:t xml:space="preserve">— factíveis para quem chega com produto certificado, frete 3–5× menor que o dos concorrentes industriais (cap. 9) e os canais do capítulo 8. A ativação do 2º turno e o rompimento do teto EPP não são presumidos no fluxo bancário: são opções reais de crescimento documentadas, condicionadas a decisão societária e tributária. O projeto financeiro é dimensionado para pagar-se dentro do plano-base — e é o que o capítulo 13 demonstra.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nálise-da-concorrência"/>
    <w:p>
      <w:pPr>
        <w:pStyle w:val="Heading1"/>
      </w:pPr>
      <w:r>
        <w:t xml:space="preserve">6. ANÁLISE DA CONCORRÊNCIA</w:t>
      </w:r>
    </w:p>
    <w:bookmarkStart w:id="50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50"/>
    <w:bookmarkStart w:id="51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1"/>
    <w:bookmarkStart w:id="52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2"/>
    <w:bookmarkStart w:id="53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tabela; as referências triangulam tabelas oficiais e mercado nacional (validar com cotação local na implantação — ver plano de ação):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oficial SINAPI-ES 06/2026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 nacional 2025/26 [90][26]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</w:t>
            </w:r>
            <w:r>
              <w:t xml:space="preserve"> </w:t>
            </w:r>
            <w:r>
              <w:t xml:space="preserve">“</w:t>
            </w:r>
            <w:r>
              <w:t xml:space="preserve">posto fábrica</w:t>
            </w:r>
            <w:r>
              <w:t xml:space="preserve">”</w:t>
            </w:r>
            <w:r>
              <w:t xml:space="preserve"> </w:t>
            </w:r>
            <w:r>
              <w:t xml:space="preserve">(premissa conservadora)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(estrutural fbk 4,5: R$ 3,30)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R$ 3,60–4,60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R$ 2,60–3,00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R$ 3,50–6,50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R$ 3,20–3,60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14×19×39 fbk 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R$ 4,80–5,25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R$ 4,00–5,30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R$ 4,20–4,80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19×19×39 fbk 4,5–8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R$ 5,94–6,63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R$ 5,20–5,90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R$ 3,08 (14×19×19)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R$ 3,00–3,60 (14×19×39)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R$ 69,97–88,39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R$ 52–62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R$ 95,76–105,58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R$ 68–80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Sextavado e=8/10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R$ 95,76–126,57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R$ 70–95</w:t>
            </w:r>
          </w:p>
        </w:tc>
      </w:tr>
    </w:tbl>
    <w:p>
      <w:pPr>
        <w:pStyle w:val="BodyText"/>
      </w:pPr>
      <w:r>
        <w:t xml:space="preserve">Os preços-alvo da GTK posicionam-se deliberadamente 10–25% abaixo da mediana SINAPI (que reflete preço ao consumidor final com margem de revenda) — margem suficiente para remunerar a revenda, ganhar licitação e ainda assim preservar a rentabilidade demonstrada no capítulo 13, graças ao custo variável industrial de ~R$ 1,85/bloco (cap. 13.2).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cadeia-de-suprimentos-e-fornecedores"/>
    <w:p>
      <w:pPr>
        <w:pStyle w:val="Heading1"/>
      </w:pPr>
      <w:r>
        <w:t xml:space="preserve">7. CADEIA DE SUPRIMENTOS E FORNECEDORES</w:t>
      </w:r>
    </w:p>
    <w:bookmarkStart w:id="55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5"/>
    <w:bookmarkStart w:id="56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6"/>
    <w:bookmarkStart w:id="57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≈5.000 bandejas — o ponto médio da faixa de 4.000 a 6.000 do cap. 3.5, equivalente a 2–3 dias de produção em ciclo de cura — + 1.500–2.500 pallets de expedição.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7"/>
    <w:bookmarkStart w:id="58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8"/>
    <w:bookmarkStart w:id="59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59"/>
    <w:bookmarkStart w:id="60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7" w:name="clientes-potenciais-e-canais-de-venda"/>
    <w:p>
      <w:pPr>
        <w:pStyle w:val="Heading1"/>
      </w:pPr>
      <w:r>
        <w:t xml:space="preserve">8. CLIENTES POTENCIAIS E CANAIS DE VENDA</w:t>
      </w:r>
    </w:p>
    <w:bookmarkStart w:id="62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 — mais de 32 mil m² de pavimentação e 10 km de meio-fio</w:t>
      </w:r>
      <w:r>
        <w:t xml:space="preserve"> </w:t>
      </w:r>
      <w:r>
        <w:t xml:space="preserve">— em seis bairros, incluindo Km 41/Maria Preta, vizinhos imediatos da planta, com recursos do acordo de reparação do Rio Doce geridos pela SERD [67][135];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[108][109].</w:t>
      </w:r>
      <w:r>
        <w:t xml:space="preserve"> </w:t>
      </w:r>
      <w:r>
        <w:rPr>
          <w:iCs/>
          <w:i/>
        </w:rPr>
        <w:t xml:space="preserve">Nota de rigor: as publicações não datam essas obras (parte pode ser de 2021–2023); por isso elas são tratadas neste estudo apenas como comprovação histórica do padrão regional de pavimentar em blocos — e ficam FORA da soma de demanda anual do §5.3.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</w:t>
      </w:r>
      <w:r>
        <w:t xml:space="preserve">: o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pavimenta estradas rurais há mais de 20 anos [72][112] e anunciou novo ciclo de</w:t>
      </w:r>
      <w:r>
        <w:t xml:space="preserve"> </w:t>
      </w:r>
      <w:r>
        <w:rPr>
          <w:bCs/>
          <w:b/>
        </w:rPr>
        <w:t xml:space="preserve">476 km adicionais</w:t>
      </w:r>
      <w:r>
        <w:t xml:space="preserve"> </w:t>
      </w:r>
      <w:r>
        <w:t xml:space="preserve">[137]; no braço complementar</w:t>
      </w:r>
      <w:r>
        <w:t xml:space="preserve"> </w:t>
      </w:r>
      <w:r>
        <w:rPr>
          <w:bCs/>
          <w:b/>
        </w:rPr>
        <w:t xml:space="preserve">Calçamento Rural</w:t>
      </w:r>
      <w:r>
        <w:t xml:space="preserve">, o desenho é ainda mais direto para a GTK:</w:t>
      </w:r>
      <w:r>
        <w:t xml:space="preserve"> </w:t>
      </w:r>
      <w:r>
        <w:rPr>
          <w:bCs/>
          <w:b/>
        </w:rPr>
        <w:t xml:space="preserve">a SEAG fornece os blocos intertravados e os meios-fios de concreto e as prefeituras executam as obras</w:t>
      </w:r>
      <w:r>
        <w:t xml:space="preserve"> </w:t>
      </w:r>
      <w:r>
        <w:t xml:space="preserve">[136] — ou seja, o Estado é comprador direto e recorrente de exatamente o produto da fábrica (reportagem setorial registra R$ 257,4 milhões em contratos do programa no biênio 2024–2025 [72]);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2"/>
    <w:bookmarkStart w:id="63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3"/>
    <w:bookmarkStart w:id="64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4"/>
    <w:bookmarkStart w:id="65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5"/>
    <w:bookmarkStart w:id="66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logística-e-escoamento"/>
    <w:p>
      <w:pPr>
        <w:pStyle w:val="Heading1"/>
      </w:pPr>
      <w:r>
        <w:t xml:space="preserve">9. LOGÍSTICA E ESCOAMENTO</w:t>
      </w:r>
    </w:p>
    <w:bookmarkStart w:id="68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8"/>
    <w:bookmarkStart w:id="69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 (memória no Apêndice A): um caminhão truck de 13–14 t de carga útil transporta</w:t>
      </w:r>
      <w:r>
        <w:t xml:space="preserve"> </w:t>
      </w:r>
      <w:r>
        <w:rPr>
          <w:bCs/>
          <w:b/>
        </w:rPr>
        <w:t xml:space="preserve">~1.090–1.180 blocos de 14</w:t>
      </w:r>
      <w:r>
        <w:t xml:space="preserve"> </w:t>
      </w:r>
      <w:r>
        <w:t xml:space="preserve">(a ~11,9 kg/un [44]) ou</w:t>
      </w:r>
      <w:r>
        <w:t xml:space="preserve"> </w:t>
      </w:r>
      <w:r>
        <w:rPr>
          <w:bCs/>
          <w:b/>
        </w:rPr>
        <w:t xml:space="preserve">~95–105 m² de paver e=6</w:t>
      </w:r>
      <w:r>
        <w:t xml:space="preserve"> </w:t>
      </w:r>
      <w:r>
        <w:t xml:space="preserve">(~135 kg/m²). A R$ 7–9 por km rodado (frete regional, ida carregada + retorno vazio), a entrega a 30 km (60 km rodados) custa R$ 420–540 por viagem —</w:t>
      </w:r>
      <w:r>
        <w:t xml:space="preserve"> </w:t>
      </w:r>
      <w:r>
        <w:rPr>
          <w:bCs/>
          <w:b/>
        </w:rPr>
        <w:t xml:space="preserve">R$ 0,36–0,49 por bloco</w:t>
      </w:r>
      <w:r>
        <w:t xml:space="preserve"> </w:t>
      </w:r>
      <w:r>
        <w:t xml:space="preserve">(11–15% do preço de tabela). Já o concorrente da Grande Vitória, mesmo otimizando em carreta de 25–30 t (~2.100–2.500 blocos), percorre ~400 km no ciclo e paga R$ 3.200–4.000 —</w:t>
      </w:r>
      <w:r>
        <w:t xml:space="preserve"> </w:t>
      </w:r>
      <w:r>
        <w:rPr>
          <w:bCs/>
          <w:b/>
        </w:rPr>
        <w:t xml:space="preserve">R$ 1,30–1,90 por bloco</w:t>
      </w:r>
      <w:r>
        <w:t xml:space="preserve"> </w:t>
      </w:r>
      <w:r>
        <w:t xml:space="preserve">(40–58% do preço). Esse diferencial de 3 a 5 vezes é a tradução monetária da vantagem locacional: dentro do raio de 60 km, nenhum concorrente industrial consegue competir em preço entregue com a GTK sem sacrificar margem.</w:t>
      </w:r>
    </w:p>
    <w:bookmarkEnd w:id="69"/>
    <w:bookmarkStart w:id="70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análise-swot-e-atratividade"/>
    <w:p>
      <w:pPr>
        <w:pStyle w:val="Heading1"/>
      </w:pPr>
      <w:r>
        <w:t xml:space="preserve">10. ANÁLISE SWOT E ATRATIVIDADE</w:t>
      </w:r>
    </w:p>
    <w:bookmarkStart w:id="72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2"/>
    <w:bookmarkStart w:id="73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~9 anos no teto EPP — deliberado; compatível c/ prazo FNE 10–12 anos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retorno deliberadamente alongado pela opção EPP).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81" w:name="estratégia-mercadológica"/>
    <w:p>
      <w:pPr>
        <w:pStyle w:val="Heading1"/>
      </w:pPr>
      <w:r>
        <w:t xml:space="preserve">12. ESTRATÉGIA MERCADOLÓGICA</w:t>
      </w:r>
    </w:p>
    <w:bookmarkStart w:id="76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6"/>
    <w:bookmarkStart w:id="77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3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3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3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7"/>
    <w:bookmarkStart w:id="78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4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4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8"/>
    <w:bookmarkStart w:id="79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5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5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5"/>
        </w:numPr>
        <w:pStyle w:val="Compact"/>
      </w:pPr>
      <w:r>
        <w:t xml:space="preserve">Regra de ouro: nenhum canal acima de 35% da receita.</w:t>
      </w:r>
    </w:p>
    <w:bookmarkEnd w:id="79"/>
    <w:bookmarkStart w:id="80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6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6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6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6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7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2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t xml:space="preserve">O capital social subscrito de R$ 7,5 milhões é coerente com essa ordem de grandeza, e o total encontra respaldo em guias de custo de implantação de fábricas do setor [22]. A estrutura de funding recomendada é FNE/BNB para o CAPEX financiável (equipamentos + obras civis, tipicamente com carência e prazo longo; indústria é setor prioritário do FNE 2026 [123][124]) com contrapartida própria no capital de giro — desenho a detalhar no módulo financeiro do projeto de crédito. Quanto à elegibilidade territorial, não há ambiguidade:</w:t>
      </w:r>
      <w:r>
        <w:t xml:space="preserve"> </w:t>
      </w:r>
      <w:r>
        <w:rPr>
          <w:bCs/>
          <w:b/>
        </w:rPr>
        <w:t xml:space="preserve">a área de atuação legal da Sudene inclui 31 municípios do norte do Espírito Santo (LC nº 185/2021), entre eles São Mateus e todos os demais oito municípios da área de influência deste estudo</w:t>
      </w:r>
      <w:r>
        <w:t xml:space="preserve"> </w:t>
      </w:r>
      <w:r>
        <w:t xml:space="preserve">[132][133][130].</w:t>
      </w:r>
    </w:p>
    <w:bookmarkEnd w:id="82"/>
    <w:bookmarkStart w:id="83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a venda (premissa conservadora — ver quadro de regime abaixo)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s/ PV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≈R$ 2,50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por produto</w:t>
      </w:r>
      <w:r>
        <w:t xml:space="preserve"> </w:t>
      </w:r>
      <w:r>
        <w:t xml:space="preserve">(PV × (1 − 15% tributos − 4,5% frete) − custo variável industrial): bloco 14 vedação</w:t>
      </w:r>
      <w:r>
        <w:t xml:space="preserve"> </w:t>
      </w:r>
      <w:r>
        <w:rPr>
          <w:bCs/>
          <w:b/>
        </w:rPr>
        <w:t xml:space="preserve">R$ 0,81/un (24,4%)</w:t>
      </w:r>
      <w:r>
        <w:t xml:space="preserve">; bloco 14 estrutural fbk 6–8 (CV industrial ~R$ 2,10, traço mais rico)</w:t>
      </w:r>
      <w:r>
        <w:t xml:space="preserve"> </w:t>
      </w:r>
      <w:r>
        <w:rPr>
          <w:bCs/>
          <w:b/>
        </w:rPr>
        <w:t xml:space="preserve">R$ 1,52/un (33,8%)</w:t>
      </w:r>
      <w:r>
        <w:t xml:space="preserve">; bloco 9 (CV ~R$ 1,45)</w:t>
      </w:r>
      <w:r>
        <w:t xml:space="preserve"> </w:t>
      </w:r>
      <w:r>
        <w:rPr>
          <w:bCs/>
          <w:b/>
        </w:rPr>
        <w:t xml:space="preserve">R$ 0,80/un (28,7%)</w:t>
      </w:r>
      <w:r>
        <w:t xml:space="preserve">; bloco 19/canaleta (CV ~R$ 2,45)</w:t>
      </w:r>
      <w:r>
        <w:t xml:space="preserve"> </w:t>
      </w:r>
      <w:r>
        <w:rPr>
          <w:bCs/>
          <w:b/>
        </w:rPr>
        <w:t xml:space="preserve">R$ 1,98/un (36,0%)</w:t>
      </w:r>
      <w:r>
        <w:t xml:space="preserve">; paver e=6 (CV industrial ~R$ 24/m², incluindo pigmento parcial)</w:t>
      </w:r>
      <w:r>
        <w:t xml:space="preserve"> </w:t>
      </w:r>
      <w:r>
        <w:rPr>
          <w:bCs/>
          <w:b/>
        </w:rPr>
        <w:t xml:space="preserve">R$ 21,88/m² (38,4%)</w:t>
      </w:r>
      <w:r>
        <w:t xml:space="preserve">. Ponderada pelo mix do §5.4, a margem média derivada é de</w:t>
      </w:r>
      <w:r>
        <w:t xml:space="preserve"> </w:t>
      </w:r>
      <w:r>
        <w:rPr>
          <w:bCs/>
          <w:b/>
        </w:rPr>
        <w:t xml:space="preserve">31,2%</w:t>
      </w:r>
      <w:r>
        <w:t xml:space="preserve"> </w:t>
      </w:r>
      <w:r>
        <w:t xml:space="preserve">— o modelo adota</w:t>
      </w:r>
      <w:r>
        <w:t xml:space="preserve"> </w:t>
      </w:r>
      <w:r>
        <w:rPr>
          <w:bCs/>
          <w:b/>
        </w:rPr>
        <w:t xml:space="preserve">30,0%</w:t>
      </w:r>
      <w:r>
        <w:t xml:space="preserve"> </w:t>
      </w:r>
      <w:r>
        <w:t xml:space="preserve">(conservador). É por isso que a estratégia protege o espaço do estrutural e do paver no mix.</w:t>
      </w:r>
    </w:p>
    <w:p>
      <w:pPr>
        <w:pStyle w:val="BodyText"/>
      </w:pPr>
      <w:r>
        <w:rPr>
          <w:bCs/>
          <w:b/>
        </w:rPr>
        <w:t xml:space="preserve">Regime tributário: decisão em aberto, premissa fechada.</w:t>
      </w:r>
      <w:r>
        <w:t xml:space="preserve"> </w:t>
      </w:r>
      <w:r>
        <w:t xml:space="preserve">O teto de receita mantém a empresa no porte EPP em qualquer regime [139]; a escolha entre os regimes é do planejamento tributário, não do estudo de mercado: no</w:t>
      </w:r>
      <w:r>
        <w:t xml:space="preserve"> </w:t>
      </w:r>
      <w:r>
        <w:rPr>
          <w:bCs/>
          <w:b/>
        </w:rPr>
        <w:t xml:space="preserve">Simples Nacional (Anexo II — indústria)</w:t>
      </w:r>
      <w:r>
        <w:t xml:space="preserve">, a alíquota efetiva vai de ~11,6% no ramp-up a</w:t>
      </w:r>
      <w:r>
        <w:t xml:space="preserve"> </w:t>
      </w:r>
      <w:r>
        <w:rPr>
          <w:bCs/>
          <w:b/>
        </w:rPr>
        <w:t xml:space="preserve">15,0% no topo da faixa</w:t>
      </w:r>
      <w:r>
        <w:t xml:space="preserve"> </w:t>
      </w:r>
      <w:r>
        <w:t xml:space="preserve">(nominal de 30% com dedução de R$ 720 mil [140]); no</w:t>
      </w:r>
      <w:r>
        <w:t xml:space="preserve"> </w:t>
      </w:r>
      <w:r>
        <w:rPr>
          <w:bCs/>
          <w:b/>
        </w:rPr>
        <w:t xml:space="preserve">Lucro Presumido</w:t>
      </w:r>
      <w:r>
        <w:t xml:space="preserve">, os tributos federais somam ~6,2% da receita (IRPJ com adicional + CSLL sobre bases presumidas de 8%/12% + PIS/COFINS cumulativos), acrescidos do ICMS por débito e crédito e da CPP de 20% sobre uma folha enxuta — desenho que pode ser competitivo justamente porque a planta automática emprega poucos funcionários, e que ainda pode capturar benefícios estaduais.</w:t>
      </w:r>
      <w:r>
        <w:t xml:space="preserve"> </w:t>
      </w:r>
      <w:r>
        <w:rPr>
          <w:bCs/>
          <w:b/>
        </w:rPr>
        <w:t xml:space="preserve">O modelo adota carga total de 15% sobre a receita, que cobre com folga os dois cenários; a definição fina com o contador antes do start-up só pode melhorar o resultado projetado.</w:t>
      </w:r>
    </w:p>
    <w:bookmarkEnd w:id="83"/>
    <w:bookmarkStart w:id="84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4"/>
    <w:bookmarkStart w:id="85" w:name="X8a5090aa94414065d5a4f4b7f2ff44ebcb06702"/>
    <w:p>
      <w:pPr>
        <w:pStyle w:val="Heading2"/>
      </w:pPr>
      <w:r>
        <w:t xml:space="preserve">13.4 Ponto de equilíbrio, cenários e capacidade de pagamento</w:t>
      </w:r>
    </w:p>
    <w:p>
      <w:pPr>
        <w:pStyle w:val="FirstParagraph"/>
      </w:pPr>
      <w:r>
        <w:t xml:space="preserve">Com margem de contribuição média de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sobre a receita (derivada de 31,2% no mix do §5.4 — Apêndice A):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30% ≈</w:t>
      </w:r>
      <w:r>
        <w:t xml:space="preserve"> </w:t>
      </w:r>
      <w:r>
        <w:rPr>
          <w:bCs/>
          <w:b/>
        </w:rPr>
        <w:t xml:space="preserve">R$ 173 mil/mês</w:t>
      </w:r>
      <w:r>
        <w:t xml:space="preserve"> </w:t>
      </w:r>
      <w:r>
        <w:t xml:space="preserve">(R$ 2,08 milhões/ano) — ou seja,</w:t>
      </w:r>
      <w:r>
        <w:t xml:space="preserve"> </w:t>
      </w:r>
      <w:r>
        <w:rPr>
          <w:bCs/>
          <w:b/>
        </w:rPr>
        <w:t xml:space="preserve">36% da capacidade efetiva</w:t>
      </w:r>
      <w:r>
        <w:t xml:space="preserve"> </w:t>
      </w:r>
      <w:r>
        <w:t xml:space="preserve">(§3.7),</w:t>
      </w:r>
      <w:r>
        <w:t xml:space="preserve"> </w:t>
      </w:r>
      <w:r>
        <w:rPr>
          <w:bCs/>
          <w:b/>
        </w:rPr>
        <w:t xml:space="preserve">43% do teto EPP</w:t>
      </w:r>
      <w:r>
        <w:t xml:space="preserve"> </w:t>
      </w:r>
      <w:r>
        <w:t xml:space="preserve">e 29% da referência nominal. No regime, a operação roda 2,3 vezes acima do equilíbrio.</w:t>
      </w:r>
    </w:p>
    <w:p>
      <w:pPr>
        <w:numPr>
          <w:ilvl w:val="0"/>
          <w:numId w:val="1017"/>
        </w:numPr>
        <w:pStyle w:val="Compact"/>
      </w:pPr>
      <w:r>
        <w:t xml:space="preserve">O plano-base (teto EPP) gera</w:t>
      </w:r>
      <w:r>
        <w:t xml:space="preserve"> </w:t>
      </w:r>
      <w:r>
        <w:rPr>
          <w:bCs/>
          <w:b/>
        </w:rPr>
        <w:t xml:space="preserve">EBITDA de ≈R$ 813 mil/ano</w:t>
      </w:r>
      <w:r>
        <w:t xml:space="preserve"> </w:t>
      </w:r>
      <w:r>
        <w:t xml:space="preserve">(R$ 4.791.000 × 30% − R$ 624.000 de fixos).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R$ 2,6–2,9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R$ 0,78–0,87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≈R$ 0,16–0,25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R$ 3,8–3,9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66–68%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R$ 1,14–1,17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≈R$ 0,52–0,55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(teto EPP)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≈R$ 0,81 mi</w:t>
            </w:r>
          </w:p>
        </w:tc>
      </w:tr>
    </w:tbl>
    <w:p>
      <w:pPr>
        <w:pStyle w:val="BodyText"/>
      </w:pPr>
      <w:r>
        <w:rPr>
          <w:iCs/>
          <w:i/>
        </w:rPr>
        <w:t xml:space="preserve">Todas as linhas usam a mesma base (mix do §5.4; capacidade efetiva de R$ 5,76 milhões do §3.7), margem de 30% e fixos constantes de R$ 52 mil/mês — a mesma da planilha anexa e do Apêndice A.</w:t>
      </w:r>
    </w:p>
    <w:p>
      <w:pPr>
        <w:pStyle w:val="BodyText"/>
      </w:pPr>
      <w:r>
        <w:rPr>
          <w:bCs/>
          <w:b/>
        </w:rPr>
        <w:t xml:space="preserve">Capacidade de pagamento (DSCR).</w:t>
      </w:r>
      <w:r>
        <w:t xml:space="preserve"> </w:t>
      </w:r>
      <w:r>
        <w:t xml:space="preserve">O indicador que o banco olha é a cobertura do serviço da dívida pelo EBITDA: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 da dívida FNE (SAC, pós-carência)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DSCR no regime (EBITDA R$ 813 mil)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~R$ 5,0 milhões em 10 anos (≈R$ 60 mil/mês)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1,13× — apertado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~R$ 4,0–4,5 milhões em 12 anos (≈R$ 46–50 mil/mês)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R$ 552–600 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1,36–1,47× — adequado</w:t>
            </w:r>
          </w:p>
        </w:tc>
      </w:tr>
    </w:tbl>
    <w:p>
      <w:pPr>
        <w:pStyle w:val="BodyText"/>
      </w:pPr>
      <w:r>
        <w:t xml:space="preserve">A recomendação ao módulo financeiro do projeto é, portanto,</w:t>
      </w:r>
      <w:r>
        <w:t xml:space="preserve"> </w:t>
      </w:r>
      <w:r>
        <w:rPr>
          <w:bCs/>
          <w:b/>
        </w:rPr>
        <w:t xml:space="preserve">prazo de 12 anos e financiamento de até ~R$ 4,5 milhões</w:t>
      </w:r>
      <w:r>
        <w:t xml:space="preserve">, com a contrapartida própria reforçada (o capital subscrito de R$ 7,5 milhões comporta) — além da carência típica do FNE cobrindo o ramp-up do ano 1 e do bônus de adimplência dando folga adicional à cobertura.</w:t>
      </w:r>
    </w:p>
    <w:p>
      <w:pPr>
        <w:pStyle w:val="BodyText"/>
      </w:pPr>
      <w:r>
        <w:t xml:space="preserve">Essa recomendação foi</w:t>
      </w:r>
      <w:r>
        <w:t xml:space="preserve"> </w:t>
      </w:r>
      <w:r>
        <w:rPr>
          <w:bCs/>
          <w:b/>
        </w:rPr>
        <w:t xml:space="preserve">testada no algoritmo oficial de capacidade de pagamento do BNB</w:t>
      </w:r>
      <w:r>
        <w:t xml:space="preserve"> </w:t>
      </w:r>
      <w:r>
        <w:t xml:space="preserve">(anexo</w:t>
      </w:r>
      <w:r>
        <w:t xml:space="preserve"> </w:t>
      </w:r>
      <w:r>
        <w:t xml:space="preserve">“</w:t>
      </w:r>
      <w:r>
        <w:t xml:space="preserve">Simulação FNE/BNB</w:t>
      </w:r>
      <w:r>
        <w:t xml:space="preserve">”</w:t>
      </w:r>
      <w:r>
        <w:t xml:space="preserve">): com taxa de 8,8945% a.a., 144 meses e a receita deste estudo, o pleito aprovável na janela de comprometimento de 30–50% do banco vai de</w:t>
      </w:r>
      <w:r>
        <w:t xml:space="preserve"> </w:t>
      </w:r>
      <w:r>
        <w:rPr>
          <w:bCs/>
          <w:b/>
        </w:rPr>
        <w:t xml:space="preserve">R$ 4,46 milhões</w:t>
      </w:r>
      <w:r>
        <w:t xml:space="preserve"> </w:t>
      </w:r>
      <w:r>
        <w:t xml:space="preserve">(custo padrão no piso da faixa de 76,72%, carência de 24 meses — comprometimento equalizado de 50,0%) a</w:t>
      </w:r>
      <w:r>
        <w:t xml:space="preserve"> </w:t>
      </w:r>
      <w:r>
        <w:rPr>
          <w:bCs/>
          <w:b/>
        </w:rPr>
        <w:t xml:space="preserve">~R$ 3,0 milhões</w:t>
      </w:r>
      <w:r>
        <w:t xml:space="preserve"> </w:t>
      </w:r>
      <w:r>
        <w:t xml:space="preserve">(custo padrão no teto de 84,39%), com R$ 4,8 milhões reprovado em qualquer combinação. O cenário de protocolo sugerido é</w:t>
      </w:r>
      <w:r>
        <w:t xml:space="preserve"> </w:t>
      </w:r>
      <w:r>
        <w:rPr>
          <w:bCs/>
          <w:b/>
        </w:rPr>
        <w:t xml:space="preserve">R$ 4,4 milhões / 144 meses / carência 24 meses</w:t>
      </w:r>
      <w:r>
        <w:t xml:space="preserve"> </w:t>
      </w:r>
      <w:r>
        <w:t xml:space="preserve">(comprometimento 49,1% no piso da faixa), com plano B dimensionado para ~R$ 3,0 milhões caso o analista aplique o teto do custo padrão.</w:t>
      </w:r>
    </w:p>
    <w:p>
      <w:pPr>
        <w:pStyle w:val="BodyText"/>
      </w:pPr>
      <w:r>
        <w:rPr>
          <w:bCs/>
          <w:b/>
        </w:rPr>
        <w:t xml:space="preserve">Payback e horizonte.</w:t>
      </w:r>
      <w:r>
        <w:t xml:space="preserve"> </w:t>
      </w:r>
      <w:r>
        <w:t xml:space="preserve">No teto EPP, o payback bruto do investimento total (~R$ 7,4 milhões) é de</w:t>
      </w:r>
      <w:r>
        <w:t xml:space="preserve"> </w:t>
      </w:r>
      <w:r>
        <w:rPr>
          <w:bCs/>
          <w:b/>
        </w:rPr>
        <w:t xml:space="preserve">~9 anos</w:t>
      </w:r>
      <w:r>
        <w:t xml:space="preserve"> </w:t>
      </w:r>
      <w:r>
        <w:t xml:space="preserve">— deliberadamente alongado pela opção de permanecer pequena empresa, e compatível com o prazo de 10–12 anos do crédito FNE industrial [124]. As alavancas documentadas para encurtá-lo, quando o investidor decidir: enriquecer o mix dentro do teto (mais estrutural e paver elevam a margem média), otimizar o regime tributário (qualquer carga abaixo dos 15% premissados vira margem) e, a partir do ano 5, romper o teto EPP como decisão consciente de porte — a capacidade instalada já está paga e pronta.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 (teto EPP), isso imobiliza R$ 450–650 mil — daí a reserva de R$ 700–900 mil no funding, já com folga,, o item cuja falta mata a maioria das indústrias novas do setor [126][127].</w:t>
      </w:r>
    </w:p>
    <w:bookmarkEnd w:id="85"/>
    <w:bookmarkStart w:id="86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8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industrial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t>a</m:t>
                      </m:r>
                      <m:r>
                        <m:t>l</m:t>
                      </m:r>
                      <m:r>
                        <m:t>c</m:t>
                      </m:r>
                      <m:r>
                        <m:t>u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d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—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t>a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13.2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≥30% (derivada: 31,2% — §13.2)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 acumulada 12 meses (RBT12)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R$ 4,8 milhões (teto EPP — decisão de romper é societária, não acidental)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8"/>
    <w:bookmarkStart w:id="89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89"/>
    <w:bookmarkStart w:id="90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90"/>
    <w:bookmarkStart w:id="91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3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Economia do negócio</w:t>
      </w:r>
      <w:r>
        <w:t xml:space="preserve">: plano-base limitado ao teto de pequena empresa (R$ 4,79 milhões/ano — LC 123), vendendo ~988 mil blocos + 21 mil m² de paver com</w:t>
      </w:r>
      <w:r>
        <w:t xml:space="preserve"> </w:t>
      </w:r>
      <w:r>
        <w:rPr>
          <w:bCs/>
          <w:b/>
        </w:rPr>
        <w:t xml:space="preserve">83% da capacidade efetiva</w:t>
      </w:r>
      <w:r>
        <w:t xml:space="preserve"> </w:t>
      </w:r>
      <w:r>
        <w:t xml:space="preserve">(que desconta feriados, manutenção e paradas — OEE implícito de 76%); ponto de equilíbrio em 36% da capacidade efetiva; EBITDA de regime de ~R$ 813 mil/ano; DSCR de 1,36–1,47× com dívida FNE de ~R$ 4,0–4,5 milhões em 12 anos; investimento total de ~R$ 6,6–8,2 milhões compatível com o capital subscrito de R$ 7,5 milhões (a área legal da Sudene abrange 31 municípios do norte do ES — LC nº 185/2021 —, incluindo todos os nove da área de influência; indústria é setor prioritário no FNE 2026 de R$ 52,6 bilhões, com R$ 1,3 bilhão para o ES).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3"/>
    <w:bookmarkStart w:id="94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10–18% do mercado endereçável no ano 1) e comporta o regime de cruzeiro no teto EPP (~19–30% do SAM, com o mix espelhando a absorção do mercado) na condição de execução da estratégia comercial — ancoragem em licitações e atas municipais, rede de 8–12 revendas, 2–3 contas B2B estruturantes e balcão de fábrica. O projeto paga-se dentro do plano-base de pequena empresa — vendendo menos do que fabrica, com folga operacional documentada —, tratando o 2º turno e o rompimento do teto EPP como opções futuras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estaduais (Invest-ES, Funres) e federais na área da Sudene. Disponível em: https://sedes.es.gov.br/invista-no-es . Acesso em: 16/08/2026.</w:t>
      </w:r>
    </w:p>
    <w:p>
      <w:pPr>
        <w:pStyle w:val="BodyText"/>
      </w:pPr>
      <w:r>
        <w:t xml:space="preserve">[131] Folha Vitória — Indústria capixaba avança 20,2% e é a que mais cresce no país no primeiro semestre (PIM-PF/IBGE, jan–jun/2026 vs. 1S2025; Brasil +1,5%). Disponível em: https://www.folhavitoria.com.br/economia/industria-capixaba-avanca-202-e-e-a-que-mais-cresce-no-pais-no-primeiro-semestre/ . Acesso em: 16/08/2026.</w:t>
      </w:r>
    </w:p>
    <w:p>
      <w:pPr>
        <w:pStyle w:val="BodyText"/>
      </w:pPr>
      <w:r>
        <w:t xml:space="preserve">[132] IBGE — Área de Atuação da SUDENE (delimitação oficial; inclui 31 municípios do Espírito Santo conforme LC nº 185/2021). Disponível em: https://www.ibge.gov.br/geociencias/organizacao-do-territorio/estrutura-territorial/34331-area-de-atuacao-da-sudene.html . Acesso em: 16/08/2026.</w:t>
      </w:r>
    </w:p>
    <w:p>
      <w:pPr>
        <w:pStyle w:val="BodyText"/>
      </w:pPr>
      <w:r>
        <w:t xml:space="preserve">[133] JusBrasil — Lei Complementar nº 125, de 03/01/2007 (institui a Sudene; área de atuação com municípios listados por alterações posteriores — LC nº 185/2021). Disponível em: https://www.jusbrasil.com.br/legislacao/95031/lei-de-criacao-da-sudene-lei-complementar-125-07 . Acesso em: 16/08/2026.</w:t>
      </w:r>
    </w:p>
    <w:p>
      <w:pPr>
        <w:pStyle w:val="BodyText"/>
      </w:pPr>
      <w:r>
        <w:t xml:space="preserve">[134] CADE — Cadernos do Cade: Mercado de Cimento no Brasil (2019) — estrutura de canais e concorrência do setor. Disponível em: https://cdn.cade.gov.br/Portal/centrais-de-conteudo/publicacoes/estudos-economicos/cadernos-do-cade/mercado-de-cimento-no-brasil-2019.pdf . Acesso em: 16/08/2026.</w:t>
      </w:r>
    </w:p>
    <w:p>
      <w:pPr>
        <w:pStyle w:val="BodyText"/>
      </w:pPr>
      <w:r>
        <w:t xml:space="preserve">[135] Governo do Estado do ES — Governo do Estado anuncia investimentos e entrega obras em São Mateus (pavimentação em blocos de 26 ruas: mais de 32 mil m² e 10 km de meio-fio; recursos do acordo do Rio Doce/SERD). Disponível em: https://www.es.gov.br/Noticia/governo-do-estado-anuncia-investimentos-e-entrega-obras-em-sao-mateus . Acesso em: 16/08/2026.</w:t>
      </w:r>
    </w:p>
    <w:p>
      <w:pPr>
        <w:pStyle w:val="BodyText"/>
      </w:pPr>
      <w:r>
        <w:t xml:space="preserve">[136] SEAG-ES — Programa de Calçamento Rural (o Estado fornece blocos intertravados e meios-fios de concreto; as prefeituras executam as obras). Disponível em: https://seag.es.gov.br/programa-de-calcamento-rural . Acesso em: 16/08/2026.</w:t>
      </w:r>
    </w:p>
    <w:p>
      <w:pPr>
        <w:pStyle w:val="BodyText"/>
      </w:pPr>
      <w:r>
        <w:t xml:space="preserve">[137] SEAG-ES — Caminhos do Campo: Estado vai pavimentar mais 476 km de estradas rurais. Disponível em: https://seag.es.gov.br/caminhos-do-campo-estado-vai-pavimentar-mais . Acesso em: 16/08/2026.</w:t>
      </w:r>
    </w:p>
    <w:p>
      <w:pPr>
        <w:pStyle w:val="BodyText"/>
      </w:pPr>
      <w:r>
        <w:t xml:space="preserve">[138] Cimento.Org — Cimento no Brasil (consumo per capita de cimento ~280 kg/habitante). Disponível em: https://cimento.org/cimento-no-brasil/ . Acesso em: 16/08/2026.</w:t>
      </w:r>
    </w:p>
    <w:p>
      <w:pPr>
        <w:pStyle w:val="BodyText"/>
      </w:pPr>
      <w:r>
        <w:t xml:space="preserve">[139] Presidência da República — Lei Complementar nº 123/2006, art. 3º, II (empresa de pequeno porte: receita bruta anual até R$ 4.800.000,00, redação da LC nº 155/2016). Disponível em: https://www.planalto.gov.br/ccivil_03/leis/lcp/lcp123.htm . Acesso em: 16/08/2026.</w:t>
      </w:r>
    </w:p>
    <w:p>
      <w:pPr>
        <w:pStyle w:val="BodyText"/>
      </w:pPr>
      <w:r>
        <w:t xml:space="preserve">[140] Contabilizei — Anexo II do Simples Nacional (indústria): tabela de alíquotas de 4,5% a 30% e parcelas a deduzir até R$ 720 mil. Disponível em: https://www.contabilizei.com.br/contabilidade-online/anexo-2-simples-nacional/ . Acesso em: 16/08/2026.</w:t>
      </w:r>
    </w:p>
    <w:p>
      <w:pPr>
        <w:pStyle w:val="BodyText"/>
      </w:pPr>
      <w:r>
        <w:t xml:space="preserve">[141] Dias-Uteis.com — Dias úteis no ano de 2027 no Brasil (252 dias úteis, feriados nacionais). Disponível em: https://www.dias-uteis.com/EN/quantos_dias_uteis_no_ano_2027_Feriados_nacionais.htm . Acesso em: 16/08/2026.</w:t>
      </w:r>
    </w:p>
    <w:p>
      <w:pPr>
        <w:pStyle w:val="BodyText"/>
      </w:pPr>
      <w:r>
        <w:t xml:space="preserve">[142] Prefeitura de São Mateus — Feriados municipais (21/09, padroeiro e aniversário da cidade; 27/12, São Benedito). Disponível em: https://saomateus.es.gov.br/sao-mateus/feriados-municipais . Acesso em: 16/08/2026.</w:t>
      </w:r>
    </w:p>
    <w:p>
      <w:pPr>
        <w:pStyle w:val="BodyText"/>
      </w:pPr>
      <w:r>
        <w:t xml:space="preserve">[143] OEE.com.br — OEE Classe Mundial (OEE ≥85%; disponibilidade ≥90%; performance ≥95%; qualidade ≥99,9%). Disponível em: https://www.oee.com.br/oee-classe-mundial/ . Acesso em: 16/08/2026.</w:t>
      </w:r>
    </w:p>
    <w:p>
      <w:pPr>
        <w:pStyle w:val="BodyText"/>
      </w:pPr>
      <w:r>
        <w:t xml:space="preserve">[144] Vedois Tecnologia — Como atingir o OEE de 85% (média das indústrias brasileiras ~60%). Disponível em: https://vedois.com.br/site/como-atingir-o-oee-de-85/ . Acesso em: 16/08/2026.</w:t>
      </w:r>
    </w:p>
    <w:p>
      <w:pPr>
        <w:pStyle w:val="BodyText"/>
      </w:pPr>
      <w:r>
        <w:t xml:space="preserve">[145] Hiwston — Vibro prensa máquina de bloco (rotinas de limpeza e lubrificação por turno; manutenção periódica). Disponível em: https://www.hiwston.com.br/vibro-prensa-maquina-bloco . Acesso em: 16/08/2026.</w:t>
      </w:r>
    </w:p>
    <w:p>
      <w:pPr>
        <w:pStyle w:val="BodyText"/>
      </w:pPr>
      <w:r>
        <w:t xml:space="preserve">[146] Mapa da Obra (Votorantim) — Limpeza e manutenção de máquinas é essencial (inspeção e limpeza regulares de molde, vibração e hidráulica). Disponível em: https://www.mapadaobra.com.br/capacitacao/limpeza-e-manutencao-de-equipamentos-e-essencial/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bookmarkEnd w:id="96"/>
    <w:bookmarkStart w:id="106" w:name="X37838b878181cdac4c222c391489eab28d4c0dc"/>
    <w:p>
      <w:pPr>
        <w:pStyle w:val="Heading1"/>
      </w:pPr>
      <w:r>
        <w:t xml:space="preserve">APÊNDICE A — MEMÓRIA DE CÁLCULO (v3, recalculada por script em 16/08/2026)</w:t>
      </w:r>
    </w:p>
    <w:p>
      <w:pPr>
        <w:pStyle w:val="FirstParagraph"/>
      </w:pPr>
      <w:r>
        <w:rPr>
          <w:iCs/>
          <w:i/>
        </w:rPr>
        <w:t xml:space="preserve">Cada número derivado do estudo, com fórmula, entradas e fonte. Recalculado por script em 16/08/2026. Plano-base limitado a R$ 4,8 milhões/ano (enquadramento EPP — LC 123/2006, art. 3º, II [139]).</w:t>
      </w:r>
    </w:p>
    <w:bookmarkStart w:id="97" w:name="Xeb63bef50c446fc171fc7dd42718c69f0ac2b36"/>
    <w:p>
      <w:pPr>
        <w:pStyle w:val="Heading2"/>
      </w:pPr>
      <w:r>
        <w:t xml:space="preserve">1. Passo 1 — Capacidade máxima de cada produto (dedicação exclusiva; proposta Gervasi, turno 8h, fator 90%)</w:t>
      </w:r>
    </w:p>
    <w:p>
      <w:pPr>
        <w:numPr>
          <w:ilvl w:val="0"/>
          <w:numId w:val="1022"/>
        </w:numPr>
        <w:pStyle w:val="Compact"/>
      </w:pPr>
      <w:r>
        <w:t xml:space="preserve">Bloco 14×19×39: 7.020/turno → nominal-calendário (264 dias):</w:t>
      </w:r>
      <w:r>
        <w:t xml:space="preserve"> </w:t>
      </w:r>
      <w:r>
        <w:rPr>
          <w:bCs/>
          <w:b/>
        </w:rPr>
        <w:t xml:space="preserve">1.853.280/ano</w:t>
      </w:r>
    </w:p>
    <w:p>
      <w:pPr>
        <w:numPr>
          <w:ilvl w:val="0"/>
          <w:numId w:val="1022"/>
        </w:numPr>
        <w:pStyle w:val="Compact"/>
      </w:pPr>
      <w:r>
        <w:t xml:space="preserve">Bloco 9×19×39: 10.530/turno → nominal-calendário (264 dias):</w:t>
      </w:r>
      <w:r>
        <w:t xml:space="preserve"> </w:t>
      </w:r>
      <w:r>
        <w:rPr>
          <w:bCs/>
          <w:b/>
        </w:rPr>
        <w:t xml:space="preserve">2.779.920/ano</w:t>
      </w:r>
    </w:p>
    <w:p>
      <w:pPr>
        <w:numPr>
          <w:ilvl w:val="0"/>
          <w:numId w:val="1022"/>
        </w:numPr>
        <w:pStyle w:val="Compact"/>
      </w:pPr>
      <w:r>
        <w:t xml:space="preserve">Bloco 19×19×39: 5.265/turno → nominal-calendário (264 dias):</w:t>
      </w:r>
      <w:r>
        <w:t xml:space="preserve"> </w:t>
      </w:r>
      <w:r>
        <w:rPr>
          <w:bCs/>
          <w:b/>
        </w:rPr>
        <w:t xml:space="preserve">1.389.960/ano</w:t>
      </w:r>
    </w:p>
    <w:p>
      <w:pPr>
        <w:numPr>
          <w:ilvl w:val="0"/>
          <w:numId w:val="1022"/>
        </w:numPr>
        <w:pStyle w:val="Compact"/>
      </w:pPr>
      <w:r>
        <w:t xml:space="preserve">Paver H6 (m²): 530/turno → nominal-calendário (264 dias):</w:t>
      </w:r>
      <w:r>
        <w:t xml:space="preserve"> </w:t>
      </w:r>
      <w:r>
        <w:rPr>
          <w:bCs/>
          <w:b/>
        </w:rPr>
        <w:t xml:space="preserve">139.920/ano</w:t>
      </w:r>
    </w:p>
    <w:bookmarkEnd w:id="97"/>
    <w:bookmarkStart w:id="98" w:name="consumos-e-autonomia-inalterado"/>
    <w:p>
      <w:pPr>
        <w:pStyle w:val="Heading2"/>
      </w:pPr>
      <w:r>
        <w:t xml:space="preserve">2. Consumos e autonomia (inalterado)</w:t>
      </w:r>
    </w:p>
    <w:p>
      <w:pPr>
        <w:numPr>
          <w:ilvl w:val="0"/>
          <w:numId w:val="1023"/>
        </w:numPr>
        <w:pStyle w:val="Compact"/>
      </w:pPr>
      <w:r>
        <w:t xml:space="preserve">Cimento 1,00 kg/bloco × 7.020 = 7,02 t/dia · silo 90 t ÷ 7,02 =</w:t>
      </w:r>
      <w:r>
        <w:t xml:space="preserve"> </w:t>
      </w:r>
      <w:r>
        <w:rPr>
          <w:bCs/>
          <w:b/>
        </w:rPr>
        <w:t xml:space="preserve">12,8 dias úteis de autonomia</w:t>
      </w:r>
    </w:p>
    <w:p>
      <w:pPr>
        <w:numPr>
          <w:ilvl w:val="0"/>
          <w:numId w:val="1023"/>
        </w:numPr>
        <w:pStyle w:val="Compact"/>
      </w:pPr>
      <w:r>
        <w:t xml:space="preserve">Concreto: 5,4 m³/h × 7,2 h =</w:t>
      </w:r>
      <w:r>
        <w:t xml:space="preserve"> </w:t>
      </w:r>
      <w:r>
        <w:rPr>
          <w:bCs/>
          <w:b/>
        </w:rPr>
        <w:t xml:space="preserve">38,9 m³/turno</w:t>
      </w:r>
      <w:r>
        <w:t xml:space="preserve"> </w:t>
      </w:r>
      <w:r>
        <w:t xml:space="preserve">(bloco 14)</w:t>
      </w:r>
    </w:p>
    <w:bookmarkEnd w:id="98"/>
    <w:bookmarkStart w:id="99" w:name="área-de-influência-ponderada-inalterada"/>
    <w:p>
      <w:pPr>
        <w:pStyle w:val="Heading2"/>
      </w:pPr>
      <w:r>
        <w:t xml:space="preserve">3. Área de influência ponderada (inalterada)</w:t>
      </w:r>
    </w:p>
    <w:p>
      <w:pPr>
        <w:numPr>
          <w:ilvl w:val="0"/>
          <w:numId w:val="1024"/>
        </w:numPr>
        <w:pStyle w:val="Compact"/>
      </w:pPr>
      <w:r>
        <w:t xml:space="preserve">Σ ponderada =</w:t>
      </w:r>
      <w:r>
        <w:t xml:space="preserve"> </w:t>
      </w:r>
      <w:r>
        <w:rPr>
          <w:bCs/>
          <w:b/>
        </w:rPr>
        <w:t xml:space="preserve">152.909 hab-eq</w:t>
      </w:r>
      <w:r>
        <w:t xml:space="preserve"> </w:t>
      </w:r>
      <w:r>
        <w:t xml:space="preserve">(tabela no §5,2); mercado: 4–6 mi blocos-eq + 70–150 mil m² paver/ano; SAM R$ 16–25 mi (§5,3 e seção 4 da memória v2)</w:t>
      </w:r>
    </w:p>
    <w:bookmarkEnd w:id="99"/>
    <w:bookmarkStart w:id="100" w:name="Xf2be243441af6bf3c3e07e1da501d3da9ada59f"/>
    <w:p>
      <w:pPr>
        <w:pStyle w:val="Heading2"/>
      </w:pPr>
      <w:r>
        <w:t xml:space="preserve">4. Passo 2 — Mix de absorção do mercado e alocação das horas da planta na mesma proporção</w:t>
      </w:r>
    </w:p>
    <w:p>
      <w:pPr>
        <w:pStyle w:val="FirstParagraph"/>
      </w:pPr>
      <w:r>
        <w:t xml:space="preserve">Participação de cada família NO VALOR do mercado endereçável (premissas fundamentadas nos caps. 5–8):</w:t>
      </w:r>
      <w:r>
        <w:t xml:space="preserve"> </w:t>
      </w:r>
      <w:r>
        <w:t xml:space="preserve">- Paver: 70–150 mil m² × ~R$ 55 = R$ 3,9–8,3 mi = 24–33% do SAM de 16–25 mi →</w:t>
      </w:r>
      <w:r>
        <w:t xml:space="preserve"> </w:t>
      </w:r>
      <w:r>
        <w:rPr>
          <w:bCs/>
          <w:b/>
        </w:rPr>
        <w:t xml:space="preserve">25% (centro)</w:t>
      </w:r>
      <w:r>
        <w:t xml:space="preserve"> </w:t>
      </w:r>
      <w:r>
        <w:t xml:space="preserve">- Bloco estrutural + complementos: obras formais/MCMV (alvenaria estrutural dominante na habitação econômica) →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(26% bloco 14 estrutural + 4% bloco 19/canaleta)</w:t>
      </w:r>
      <w:r>
        <w:t xml:space="preserve"> </w:t>
      </w:r>
      <w:r>
        <w:t xml:space="preserve">- Blocos de vedação: varejo/autoconstrução — canal dominante do interior (revendas, balcão, muros) →</w:t>
      </w:r>
      <w:r>
        <w:t xml:space="preserve"> </w:t>
      </w:r>
      <w:r>
        <w:rPr>
          <w:bCs/>
          <w:b/>
        </w:rPr>
        <w:t xml:space="preserve">45%</w:t>
      </w:r>
      <w:r>
        <w:t xml:space="preserve"> </w:t>
      </w:r>
      <w:r>
        <w:t xml:space="preserve">(36% bloco 14 + 9% bloco 9)</w:t>
      </w:r>
      <w:r>
        <w:t xml:space="preserve"> </w:t>
      </w:r>
      <w:r>
        <w:t xml:space="preserve">- R</w:t>
      </w:r>
      <m:oMath>
        <m:r>
          <m:rPr>
            <m:sty m:val="p"/>
          </m:rPr>
          <m:t>/</m:t>
        </m:r>
        <m:r>
          <m:t>d</m:t>
        </m:r>
        <m:r>
          <m:t>i</m:t>
        </m:r>
        <m:r>
          <m:t>a</m:t>
        </m:r>
        <m:r>
          <m:t>d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ç</m:t>
        </m:r>
        <m:r>
          <m:t>ã</m:t>
        </m:r>
        <m:r>
          <m:t>o</m:t>
        </m:r>
        <m:r>
          <m:t>n</m:t>
        </m:r>
        <m:r>
          <m:t>o</m:t>
        </m:r>
        <m:r>
          <m:t>m</m:t>
        </m:r>
        <m:r>
          <m:t>i</m:t>
        </m:r>
        <m:r>
          <m:t>x</m:t>
        </m:r>
        <m:r>
          <m:rPr>
            <m:sty m:val="p"/>
          </m:rPr>
          <m:t>=</m:t>
        </m:r>
        <m:r>
          <m:t>4.791</m:t>
        </m:r>
        <m:r>
          <m:t>.000</m:t>
        </m:r>
        <m:r>
          <m:rPr>
            <m:sty m:val="p"/>
          </m:rPr>
          <m:t>÷</m:t>
        </m:r>
        <m:r>
          <m:t>174</m:t>
        </m:r>
        <m:r>
          <m:rPr>
            <m:sty m:val="p"/>
          </m:rPr>
          <m:t>,</m:t>
        </m:r>
        <m:r>
          <m:t>8</m:t>
        </m:r>
        <m:r>
          <m:t>d</m:t>
        </m:r>
        <m:r>
          <m:t>i</m:t>
        </m:r>
        <m:r>
          <m:t>a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R</m:t>
        </m:r>
      </m:oMath>
      <w:r>
        <w:t xml:space="preserve"> </w:t>
      </w:r>
      <w:r>
        <w:t xml:space="preserve">27.412/dia</w:t>
      </w:r>
      <w:r>
        <w:rPr>
          <w:bCs/>
          <w:b/>
        </w:rPr>
        <w:t xml:space="preserve"> </w:t>
      </w:r>
      <w:r>
        <w:rPr>
          <w:bCs/>
          <w:b/>
        </w:rPr>
        <w:t xml:space="preserve">- Produção máxima NESSE mix a 100% do calendário nominal (264 dias):</w:t>
      </w:r>
      <w:r>
        <w:rPr>
          <w:bCs/>
          <w:b/>
        </w:rPr>
        <w:t xml:space="preserve"> </w:t>
      </w:r>
      <w:r>
        <w:t xml:space="preserve">≈R$ 7.236.899** (~R$ 7,24 mi)</w:t>
      </w:r>
    </w:p>
    <w:bookmarkEnd w:id="100"/>
    <w:bookmarkStart w:id="101" w:name="Xb7c19c3072deecdf4e4084e18ddd2fa5b4cbceb"/>
    <w:p>
      <w:pPr>
        <w:pStyle w:val="Heading2"/>
      </w:pPr>
      <w:r>
        <w:t xml:space="preserve">5. Passo 2b — Da capacidade nominal à capacidade EFETIVA (feriados + paradas obrigatórias)</w:t>
      </w:r>
    </w:p>
    <w:p>
      <w:pPr>
        <w:numPr>
          <w:ilvl w:val="0"/>
          <w:numId w:val="1025"/>
        </w:numPr>
        <w:pStyle w:val="Compact"/>
      </w:pPr>
      <w:r>
        <w:t xml:space="preserve">Dias úteis nacionais 2027:</w:t>
      </w:r>
      <w:r>
        <w:t xml:space="preserve"> </w:t>
      </w:r>
      <w:r>
        <w:rPr>
          <w:bCs/>
          <w:b/>
        </w:rPr>
        <w:t xml:space="preserve">252</w:t>
      </w:r>
      <w:r>
        <w:t xml:space="preserve"> </w:t>
      </w:r>
      <w:r>
        <w:t xml:space="preserve">[141]</w:t>
      </w:r>
    </w:p>
    <w:p>
      <w:pPr>
        <w:numPr>
          <w:ilvl w:val="0"/>
          <w:numId w:val="1025"/>
        </w:numPr>
        <w:pStyle w:val="Compact"/>
      </w:pPr>
      <w:r>
        <w:t xml:space="preserve">− 3 feriados locais em dia útil (N. Sra. da Penha — estadual; 21/09 padroeiro e 27/12 São Benedito — municipais [142]) =</w:t>
      </w:r>
      <w:r>
        <w:t xml:space="preserve"> </w:t>
      </w:r>
      <w:r>
        <w:rPr>
          <w:bCs/>
          <w:b/>
        </w:rPr>
        <w:t xml:space="preserve">249 dias úteis na planta</w:t>
      </w:r>
      <w:r>
        <w:t xml:space="preserve"> </w:t>
      </w:r>
      <w:r>
        <w:t xml:space="preserve">(média real ~20,8/mês — o padrão</w:t>
      </w:r>
      <w:r>
        <w:t xml:space="preserve"> </w:t>
      </w:r>
      <w:r>
        <w:t xml:space="preserve">‘</w:t>
      </w:r>
      <w:r>
        <w:t xml:space="preserve">22 dias/mês</w:t>
      </w:r>
      <w:r>
        <w:t xml:space="preserve">’</w:t>
      </w:r>
      <w:r>
        <w:t xml:space="preserve"> </w:t>
      </w:r>
      <w:r>
        <w:t xml:space="preserve">superestima o calendário)</w:t>
      </w:r>
    </w:p>
    <w:p>
      <w:pPr>
        <w:numPr>
          <w:ilvl w:val="0"/>
          <w:numId w:val="1025"/>
        </w:numPr>
        <w:pStyle w:val="Compact"/>
      </w:pPr>
      <w:r>
        <w:t xml:space="preserve">− Manutenção preventiva programada (16 dias-eq/ano: rotina por turno de limpeza/lubrificação de colunas, molde e painel + semanal 2–4 h + mensal 8 h, conforme rotinas recomendadas pelos fabricantes [145][146]) − trocas de molde (2 dias-eq: 2–3/semana × 15–20 min) − parada anual de revisão (3 dias) =</w:t>
      </w:r>
      <w:r>
        <w:t xml:space="preserve"> </w:t>
      </w:r>
      <w:r>
        <w:rPr>
          <w:bCs/>
          <w:b/>
        </w:rPr>
        <w:t xml:space="preserve">228 dias programáveis</w:t>
      </w:r>
    </w:p>
    <w:p>
      <w:pPr>
        <w:numPr>
          <w:ilvl w:val="0"/>
          <w:numId w:val="1025"/>
        </w:numPr>
        <w:pStyle w:val="Compact"/>
      </w:pPr>
      <w:r>
        <w:t xml:space="preserve">− Paradas NÃO planejadas 6% (corretivas, queda de energia rural, atraso de insumo, absenteísmo — benchmark; conservador para planta nova em garantia, com silo de 90 t, estoque de agregados e 95% das peças de reposição de mercado) =</w:t>
      </w:r>
      <w:r>
        <w:t xml:space="preserve"> </w:t>
      </w:r>
      <w:r>
        <w:rPr>
          <w:bCs/>
          <w:b/>
        </w:rPr>
        <w:t xml:space="preserve">214,3 dias disponíveis</w:t>
      </w:r>
    </w:p>
    <w:p>
      <w:pPr>
        <w:numPr>
          <w:ilvl w:val="0"/>
          <w:numId w:val="1025"/>
        </w:numPr>
        <w:pStyle w:val="Compact"/>
      </w:pPr>
      <w:r>
        <w:t xml:space="preserve">× Qualidade 98% (meta de refugo &lt;2%, cap. 14) =</w:t>
      </w:r>
      <w:r>
        <w:t xml:space="preserve"> </w:t>
      </w:r>
      <w:r>
        <w:rPr>
          <w:bCs/>
          <w:b/>
        </w:rPr>
        <w:t xml:space="preserve">210,0 ≈ 210 dias efetivos de produção vendável/ano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OEE implícito = disponibilidade 86,1% × performance 90% (fator já embutido no ritmo Gervasi de 7.020/turno) × qualidade 98% = 75,9%</w:t>
      </w:r>
      <w:r>
        <w:t xml:space="preserve"> </w:t>
      </w:r>
      <w:r>
        <w:t xml:space="preserve">— entre a média da indústria brasileira (~60% [144]) e o classe mundial (85%; disponibilidade ≥90% [143]): realista para planta automática nova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CAPACIDADE EFETIVA anual no mix de mercado: 210 × R$ 27.412 ≈ R$ 5.756.624 (~R$ 5,76 mi, 1 turno)</w:t>
      </w:r>
    </w:p>
    <w:bookmarkEnd w:id="101"/>
    <w:bookmarkStart w:id="102" w:name="Xb77b81377d4395c22951f04d5e30bf6bbcb8a92"/>
    <w:p>
      <w:pPr>
        <w:pStyle w:val="Heading2"/>
      </w:pPr>
      <w:r>
        <w:t xml:space="preserve">6. Passo 3 — Escala única até o teto EPP de R$ 4,8 milhões (vende-se menos do que se fabrica)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mercado 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522.655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R$ 1.724.760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276.813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153.996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 +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R$ 191.640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e=6/8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21.013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R$ 1.197.750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~988.308 blocos + 21.013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t xml:space="preserve">Utilização do plano-base: 174,8 ÷ 210 dias efetivos =</w:t>
      </w:r>
      <w:r>
        <w:t xml:space="preserve"> </w:t>
      </w:r>
      <w:r>
        <w:rPr>
          <w:bCs/>
          <w:b/>
        </w:rPr>
        <w:t xml:space="preserve">83,2% da capacidade EFETIVA</w:t>
      </w:r>
      <w:r>
        <w:t xml:space="preserve"> </w:t>
      </w:r>
      <w:r>
        <w:t xml:space="preserve">(e 66,2% da nominal-calendário) → folga real de ~35 dias efetivos/ano</w:t>
      </w:r>
    </w:p>
    <w:p>
      <w:pPr>
        <w:numPr>
          <w:ilvl w:val="0"/>
          <w:numId w:val="1026"/>
        </w:numPr>
        <w:pStyle w:val="Compact"/>
      </w:pPr>
      <w:r>
        <w:t xml:space="preserve">Coerência de absorção: blocos GTK 988.308 un = 16%–25% do mercado de 4–6 mi; paver 21.013 m² = 14%–30% do mercado de 70–150 mil m² — shares alinhados entre produtos</w:t>
      </w:r>
    </w:p>
    <w:bookmarkEnd w:id="102"/>
    <w:bookmarkStart w:id="103" w:name="X42eece6c1c225a8dbcadc34a8c4436632d80e78"/>
    <w:p>
      <w:pPr>
        <w:pStyle w:val="Heading2"/>
      </w:pPr>
      <w:r>
        <w:t xml:space="preserve">7. Regime tributário (em aberto) e margem de contribuição</w:t>
      </w:r>
    </w:p>
    <w:p>
      <w:pPr>
        <w:numPr>
          <w:ilvl w:val="0"/>
          <w:numId w:val="1027"/>
        </w:numPr>
        <w:pStyle w:val="Compact"/>
      </w:pPr>
      <w:r>
        <w:t xml:space="preserve">Simples Nacional Anexo II (indústria): alíquota efetiva = (RBT12 × nominal − dedução) ÷ RBT12 [140]:</w:t>
      </w:r>
    </w:p>
    <w:p>
      <w:pPr>
        <w:numPr>
          <w:ilvl w:val="1"/>
          <w:numId w:val="1028"/>
        </w:numPr>
        <w:pStyle w:val="Compact"/>
      </w:pPr>
      <w:r>
        <w:t xml:space="preserve">RBT12 R$ 2.750.000: (2.750.000 × 14,7% − 85.500) ÷ 2.750.000 =</w:t>
      </w:r>
      <w:r>
        <w:t xml:space="preserve"> </w:t>
      </w:r>
      <w:r>
        <w:rPr>
          <w:bCs/>
          <w:b/>
        </w:rPr>
        <w:t xml:space="preserve">11,6%</w:t>
      </w:r>
    </w:p>
    <w:p>
      <w:pPr>
        <w:numPr>
          <w:ilvl w:val="1"/>
          <w:numId w:val="1028"/>
        </w:numPr>
        <w:pStyle w:val="Compact"/>
      </w:pPr>
      <w:r>
        <w:t xml:space="preserve">RBT12 R$ 4.791.000: (4.791.000 × 30,0% − 720.000) ÷ 4.791.000 =</w:t>
      </w:r>
      <w:r>
        <w:t xml:space="preserve"> </w:t>
      </w:r>
      <w:r>
        <w:rPr>
          <w:bCs/>
          <w:b/>
        </w:rPr>
        <w:t xml:space="preserve">15,0%</w:t>
      </w:r>
    </w:p>
    <w:p>
      <w:pPr>
        <w:numPr>
          <w:ilvl w:val="0"/>
          <w:numId w:val="1027"/>
        </w:numPr>
        <w:pStyle w:val="Compact"/>
      </w:pPr>
      <w:r>
        <w:t xml:space="preserve">Lucro Presumido (alternativa com folha enxuta): IRPJ 1,2%+adicional +CSLL 1,08% +PIS/COFINS 3,65% ≈ 6,2% federais + ICMS débito-crédito + CPP 20% sobre folha reduzida — potencialmente competitivo; definir com contador (upside)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Premissa do modelo: carga total de 15% sobre a receita</w:t>
      </w:r>
      <w:r>
        <w:t xml:space="preserve"> </w:t>
      </w:r>
      <w:r>
        <w:t xml:space="preserve">(cobre o topo do Simples e o Presumido típico; qualquer otimização melhora o resultado)</w:t>
      </w:r>
    </w:p>
    <w:p>
      <w:pPr>
        <w:pStyle w:val="FirstParagraph"/>
      </w:pPr>
      <w:r>
        <w:t xml:space="preserve">MC por produto = PV × (1 − 15% tributos − 4,5% frete) − CV industrial:</w:t>
      </w:r>
      <w:r>
        <w:t xml:space="preserve"> </w:t>
      </w:r>
      <w:r>
        <w:t xml:space="preserve">- Bloco 14 vedação: 3,30 × 0,805 − 1,85 = R$ 0,81 →</w:t>
      </w:r>
      <w:r>
        <w:t xml:space="preserve"> </w:t>
      </w:r>
      <w:r>
        <w:rPr>
          <w:bCs/>
          <w:b/>
        </w:rPr>
        <w:t xml:space="preserve">24,4%</w:t>
      </w:r>
      <w:r>
        <w:t xml:space="preserve"> </w:t>
      </w:r>
      <w:r>
        <w:t xml:space="preserve">- Bloco 14 estrutural: 4,50 × 0,805 − 2,10 = R$ 1,52 →</w:t>
      </w:r>
      <w:r>
        <w:t xml:space="preserve"> </w:t>
      </w:r>
      <w:r>
        <w:rPr>
          <w:bCs/>
          <w:b/>
        </w:rPr>
        <w:t xml:space="preserve">33,8%</w:t>
      </w:r>
      <w:r>
        <w:t xml:space="preserve"> </w:t>
      </w:r>
      <w:r>
        <w:t xml:space="preserve">- Bloco 9 vedação: 2,80 × 0,805 − 1,45 = R$ 0,80 →</w:t>
      </w:r>
      <w:r>
        <w:t xml:space="preserve"> </w:t>
      </w:r>
      <w:r>
        <w:rPr>
          <w:bCs/>
          <w:b/>
        </w:rPr>
        <w:t xml:space="preserve">28,7%</w:t>
      </w:r>
      <w:r>
        <w:t xml:space="preserve"> </w:t>
      </w:r>
      <w:r>
        <w:t xml:space="preserve">- Bloco 19 + canaleta: 5,50 × 0,805 − 2,45 = R$ 1,98 →</w:t>
      </w:r>
      <w:r>
        <w:t xml:space="preserve"> </w:t>
      </w:r>
      <w:r>
        <w:rPr>
          <w:bCs/>
          <w:b/>
        </w:rPr>
        <w:t xml:space="preserve">36,0%</w:t>
      </w:r>
      <w:r>
        <w:t xml:space="preserve"> </w:t>
      </w:r>
      <w:r>
        <w:t xml:space="preserve">- Paver e=6/8 (m²): 57,00 × 0,805 − 24,00 = R$ 21,88 →</w:t>
      </w:r>
      <w:r>
        <w:t xml:space="preserve"> </w:t>
      </w:r>
      <w:r>
        <w:rPr>
          <w:bCs/>
          <w:b/>
        </w:rPr>
        <w:t xml:space="preserve">38,4%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MC média ponderada pelo mix = 31,2% → ADOTADA 30,0% (conservadora)</w:t>
      </w:r>
    </w:p>
    <w:bookmarkEnd w:id="103"/>
    <w:bookmarkStart w:id="104" w:name="Xa00bb42e33a09819c59f1431dc5f0644315d472"/>
    <w:p>
      <w:pPr>
        <w:pStyle w:val="Heading2"/>
      </w:pPr>
      <w:r>
        <w:t xml:space="preserve">8. Cenários, ponto de equilíbrio e capacidade de pagamento (fixos R$ 52 mil/mês; MC 30%)</w:t>
      </w:r>
    </w:p>
    <w:p>
      <w:pPr>
        <w:numPr>
          <w:ilvl w:val="0"/>
          <w:numId w:val="1029"/>
        </w:numPr>
        <w:pStyle w:val="Compact"/>
      </w:pPr>
      <w:r>
        <w:t xml:space="preserve">Ano 1 (ramp-up): receita R$ 2.600.000–2.900.000 (45%–50% da capacidade efetiva) → EBITDA ≈</w:t>
      </w:r>
      <w:r>
        <w:t xml:space="preserve"> </w:t>
      </w:r>
      <w:r>
        <w:rPr>
          <w:bCs/>
          <w:b/>
        </w:rPr>
        <w:t xml:space="preserve">R$ 156.000–246.000</w:t>
      </w:r>
    </w:p>
    <w:p>
      <w:pPr>
        <w:numPr>
          <w:ilvl w:val="0"/>
          <w:numId w:val="1029"/>
        </w:numPr>
        <w:pStyle w:val="Compact"/>
      </w:pPr>
      <w:r>
        <w:t xml:space="preserve">Ano 2: receita R$ 3.800.000–3.900.000 (66%–68% da capacidade efetiva) → EBITDA ≈</w:t>
      </w:r>
      <w:r>
        <w:t xml:space="preserve"> </w:t>
      </w:r>
      <w:r>
        <w:rPr>
          <w:bCs/>
          <w:b/>
        </w:rPr>
        <w:t xml:space="preserve">R$ 516.000–546.000</w:t>
      </w:r>
    </w:p>
    <w:p>
      <w:pPr>
        <w:numPr>
          <w:ilvl w:val="0"/>
          <w:numId w:val="1029"/>
        </w:numPr>
        <w:pStyle w:val="Compact"/>
      </w:pPr>
      <w:r>
        <w:t xml:space="preserve">Ano 3+ (teto EPP): receita R$ 4.791.000 (83% da capacidade efetiva) → EBITDA ≈</w:t>
      </w:r>
      <w:r>
        <w:t xml:space="preserve"> </w:t>
      </w:r>
      <w:r>
        <w:rPr>
          <w:bCs/>
          <w:b/>
        </w:rPr>
        <w:t xml:space="preserve">R$ 813.300</w:t>
      </w:r>
    </w:p>
    <w:p>
      <w:pPr>
        <w:numPr>
          <w:ilvl w:val="0"/>
          <w:numId w:val="1029"/>
        </w:numPr>
        <w:pStyle w:val="Compact"/>
      </w:pPr>
      <w:r>
        <w:t xml:space="preserve">BE operacional: 52.000 ÷ 30% =</w:t>
      </w:r>
      <w:r>
        <w:t xml:space="preserve"> </w:t>
      </w:r>
      <w:r>
        <w:rPr>
          <w:bCs/>
          <w:b/>
        </w:rPr>
        <w:t xml:space="preserve">R$ 173.333/mês</w:t>
      </w:r>
      <w:r>
        <w:t xml:space="preserve"> </w:t>
      </w:r>
      <w:r>
        <w:t xml:space="preserve">(R$ 2.080.000/ano) = 36% da capacidade efetiva · 43% do teto EPP · 29% da nominal</w:t>
      </w:r>
    </w:p>
    <w:p>
      <w:pPr>
        <w:numPr>
          <w:ilvl w:val="0"/>
          <w:numId w:val="1029"/>
        </w:numPr>
        <w:pStyle w:val="Compact"/>
      </w:pPr>
      <w:r>
        <w:t xml:space="preserve">EBITDA no teto: 4.791.000 × 30% − 624.000 =</w:t>
      </w:r>
      <w:r>
        <w:t xml:space="preserve"> </w:t>
      </w:r>
      <w:r>
        <w:rPr>
          <w:bCs/>
          <w:b/>
        </w:rPr>
        <w:t xml:space="preserve">R$ 813.300/ano</w:t>
      </w:r>
    </w:p>
    <w:p>
      <w:pPr>
        <w:numPr>
          <w:ilvl w:val="0"/>
          <w:numId w:val="1029"/>
        </w:numPr>
        <w:pStyle w:val="Compact"/>
      </w:pPr>
      <w:r>
        <w:t xml:space="preserve">DSCR (EBITDA ÷ serviço anual da dívida):</w:t>
      </w:r>
    </w:p>
    <w:p>
      <w:pPr>
        <w:numPr>
          <w:ilvl w:val="1"/>
          <w:numId w:val="1030"/>
        </w:numPr>
        <w:pStyle w:val="Compact"/>
      </w:pPr>
      <w:r>
        <w:t xml:space="preserve">R$ 5,0 mi / 10 anos (≈R$ 60 mil/mês): 813.300 ÷ 720.000 =</w:t>
      </w:r>
      <w:r>
        <w:t xml:space="preserve"> </w:t>
      </w:r>
      <w:r>
        <w:rPr>
          <w:bCs/>
          <w:b/>
        </w:rPr>
        <w:t xml:space="preserve">1,13×</w:t>
      </w:r>
    </w:p>
    <w:p>
      <w:pPr>
        <w:numPr>
          <w:ilvl w:val="1"/>
          <w:numId w:val="1030"/>
        </w:numPr>
        <w:pStyle w:val="Compact"/>
      </w:pPr>
      <w:r>
        <w:t xml:space="preserve">R$ 4,0–4,5 mi / 12 anos (≈R$ 46–50 mil/mês): 813.300 ÷ 576.000 =</w:t>
      </w:r>
      <w:r>
        <w:t xml:space="preserve"> </w:t>
      </w:r>
      <w:r>
        <w:rPr>
          <w:bCs/>
          <w:b/>
        </w:rPr>
        <w:t xml:space="preserve">1,41×</w:t>
      </w:r>
      <w:r>
        <w:t xml:space="preserve"> </w:t>
      </w:r>
      <w:r>
        <w:t xml:space="preserve">→ Recomendação ao módulo financeiro: prazo de 12 anos e/ou financiamento ≤ R$ 4,5 mi p/ DSCR ≥ 1,35 (folga extra com bônus de adimplência FNE); contrapartida própria viável (capital subscrito R$ 7,5 mi)</w:t>
      </w:r>
    </w:p>
    <w:p>
      <w:pPr>
        <w:numPr>
          <w:ilvl w:val="0"/>
          <w:numId w:val="1029"/>
        </w:numPr>
        <w:pStyle w:val="Compact"/>
      </w:pPr>
      <w:r>
        <w:t xml:space="preserve">Payback bruto: ~R$ 7,4 mi ÷ R$ 813.300 ≈</w:t>
      </w:r>
      <w:r>
        <w:t xml:space="preserve"> </w:t>
      </w:r>
      <w:r>
        <w:rPr>
          <w:bCs/>
          <w:b/>
        </w:rPr>
        <w:t xml:space="preserve">9,1 anos</w:t>
      </w:r>
      <w:r>
        <w:t xml:space="preserve"> </w:t>
      </w:r>
      <w:r>
        <w:t xml:space="preserve">— compatível com prazo FNE de 10–12 anos; alavancas para encurtar: mix mais nobre dentro do teto, romper o teto (decisão consciente de porte/tributação) a partir do ano 5</w:t>
      </w:r>
    </w:p>
    <w:bookmarkEnd w:id="104"/>
    <w:bookmarkStart w:id="105" w:name="investimento-e-frete-inalterados-da-v2"/>
    <w:p>
      <w:pPr>
        <w:pStyle w:val="Heading2"/>
      </w:pPr>
      <w:r>
        <w:t xml:space="preserve">9. Investimento e frete (inalterados da v2)</w:t>
      </w:r>
    </w:p>
    <w:p>
      <w:pPr>
        <w:numPr>
          <w:ilvl w:val="0"/>
          <w:numId w:val="1031"/>
        </w:numPr>
        <w:pStyle w:val="Compact"/>
      </w:pPr>
      <w:r>
        <w:t xml:space="preserve">CAPEX R$ 5,89–7,26 mi + giro 0,7–0,9 =</w:t>
      </w:r>
      <w:r>
        <w:t xml:space="preserve"> </w:t>
      </w:r>
      <w:r>
        <w:rPr>
          <w:bCs/>
          <w:b/>
        </w:rPr>
        <w:t xml:space="preserve">R$ 6,6–8,2 mi</w:t>
      </w:r>
      <w:r>
        <w:t xml:space="preserve">; ponto médio ~R$ 7,4 mi</w:t>
      </w:r>
    </w:p>
    <w:p>
      <w:pPr>
        <w:numPr>
          <w:ilvl w:val="0"/>
          <w:numId w:val="1031"/>
        </w:numPr>
        <w:pStyle w:val="Compact"/>
      </w:pPr>
      <w:r>
        <w:t xml:space="preserve">Frete: truck 13–14 t = 1.092–1.176 blocos; 30 km = R$ 0,36–0,49/bloco; Grande Vitória (carreta, ~400 km) = R$ 1,28–1,90/bloco; paver ~96–104 m²/truck</w:t>
      </w:r>
    </w:p>
    <w:bookmarkEnd w:id="105"/>
    <w:bookmarkEnd w:id="106"/>
    <w:bookmarkStart w:id="113" w:name="Xe06269ffbe6292ca05dba537153c8085dc38f50"/>
    <w:p>
      <w:pPr>
        <w:pStyle w:val="Heading1"/>
      </w:pPr>
      <w:r>
        <w:t xml:space="preserve">APÊNDICE B — AUDITORIA DE FONTES E CONSISTÊNCIA</w:t>
      </w:r>
    </w:p>
    <w:p>
      <w:pPr>
        <w:pStyle w:val="FirstParagraph"/>
      </w:pPr>
      <w:r>
        <w:rPr>
          <w:bCs/>
          <w:b/>
        </w:rPr>
        <w:t xml:space="preserve">Data da auditoria:</w:t>
      </w:r>
      <w:r>
        <w:t xml:space="preserve"> </w:t>
      </w:r>
      <w:r>
        <w:t xml:space="preserve">16/08/2026 (atualizada na revisão v3 — mix por absorção, teto EPP e capacidade efetiva) ·</w:t>
      </w:r>
      <w:r>
        <w:t xml:space="preserve"> </w:t>
      </w:r>
      <w:r>
        <w:rPr>
          <w:bCs/>
          <w:b/>
        </w:rPr>
        <w:t xml:space="preserve">Escopo:</w:t>
      </w:r>
      <w:r>
        <w:t xml:space="preserve"> </w:t>
      </w:r>
      <w:r>
        <w:t xml:space="preserve">as 146 referências do estudo, os parâmetros sem fonte pública (premissas) e a consistência aritmética interna.</w:t>
      </w:r>
    </w:p>
    <w:p>
      <w:pPr>
        <w:pStyle w:val="BodyText"/>
      </w:pPr>
      <w:r>
        <w:rPr>
          <w:bCs/>
          <w:b/>
        </w:rPr>
        <w:t xml:space="preserve">Legenda de status: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— o dado citado foi verificado em mais de um resultado de busca ou em documento primário (proposta comercial, SINAPI-ES, legislação);</w:t>
      </w:r>
      <w:r>
        <w:t xml:space="preserve"> </w:t>
      </w:r>
      <w:r>
        <w:t xml:space="preserve">- 🟡</w:t>
      </w:r>
      <w:r>
        <w:t xml:space="preserve"> </w:t>
      </w:r>
      <w:r>
        <w:rPr>
          <w:bCs/>
          <w:b/>
        </w:rPr>
        <w:t xml:space="preserve">Snippet</w:t>
      </w:r>
      <w:r>
        <w:t xml:space="preserve"> </w:t>
      </w:r>
      <w:r>
        <w:t xml:space="preserve">— o dado consta do resultado indexado da busca (título/resumo da própria fonte oficial); a URL permite conferência direta em um clique.</w:t>
      </w:r>
      <w:r>
        <w:t xml:space="preserve"> </w:t>
      </w:r>
      <w:r>
        <w:rPr>
          <w:iCs/>
          <w:i/>
        </w:rPr>
        <w:t xml:space="preserve">(A política de rede do ambiente de elaboração bloqueou a abertura direta das páginas; nenhum dado foi redigido sem constar do material indexado.)</w:t>
      </w:r>
      <w:r>
        <w:t xml:space="preserve"> </w:t>
      </w:r>
      <w:r>
        <w:t xml:space="preserve">- 📌</w:t>
      </w:r>
      <w:r>
        <w:t xml:space="preserve"> </w:t>
      </w:r>
      <w:r>
        <w:rPr>
          <w:bCs/>
          <w:b/>
        </w:rPr>
        <w:t xml:space="preserve">Premissa declarada</w:t>
      </w:r>
      <w:r>
        <w:t xml:space="preserve"> </w:t>
      </w:r>
      <w:r>
        <w:t xml:space="preserve">— parâmetro sem fonte pública, explicitamente rotulado como premissa no texto, com sensibilidade apresentada;</w:t>
      </w:r>
      <w:r>
        <w:t xml:space="preserve"> </w:t>
      </w:r>
      <w:r>
        <w:t xml:space="preserve">- 🔁</w:t>
      </w:r>
      <w:r>
        <w:t xml:space="preserve"> </w:t>
      </w:r>
      <w:r>
        <w:rPr>
          <w:bCs/>
          <w:b/>
        </w:rPr>
        <w:t xml:space="preserve">Corrigida na auditoria</w:t>
      </w:r>
      <w:r>
        <w:t xml:space="preserve"> </w:t>
      </w:r>
      <w:r>
        <w:t xml:space="preserve">— a afirmação original foi ajustada nesta revisão (detalhe na coluna Observação).</w:t>
      </w:r>
    </w:p>
    <w:bookmarkStart w:id="107" w:name="resultado-geral"/>
    <w:p>
      <w:pPr>
        <w:pStyle w:val="Heading2"/>
      </w:pPr>
      <w:r>
        <w:t xml:space="preserve">1. Resultado geral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confirmadas (✅)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centrais: capacidades (proposta), populações Censo 2022, SINAPI-ES 06/2026, Sudene/LC 185, obras SM e Jaguaré, cimento nacional, indústria ES 1S2026, LC 123/EPP, Anexo II do Simples, dias úteis 2027, feriados municipais, benchmarks OEE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em snippet (🟡)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majoritariamente cadastros de empresas (CNPJ/Econodata), notícias oficiais estaduais e diretórios — URLs conferíveis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Premissas declaradas (📌)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listadas na seção 3, todas com sensibilidade ou faixa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Afirmações corrigidas na auditoria (🔁)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listadas na seção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reprovadas e removidas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(2 realocadas)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 deixou de apoiar</w:t>
            </w:r>
            <w:r>
              <w:t xml:space="preserve"> </w:t>
            </w:r>
            <w:r>
              <w:t xml:space="preserve">“</w:t>
            </w:r>
            <w:r>
              <w:t xml:space="preserve">crescimento setorial/orçamento MCMV</w:t>
            </w:r>
            <w:r>
              <w:t xml:space="preserve">”</w:t>
            </w:r>
            <w:r>
              <w:t xml:space="preserve"> </w:t>
            </w:r>
            <w:r>
              <w:t xml:space="preserve">e passou a apoiar apenas ordem de grandeza de CAPEX; [61] deixou de apoiar número e passou a contexto</w:t>
            </w:r>
          </w:p>
        </w:tc>
      </w:tr>
    </w:tbl>
    <w:bookmarkEnd w:id="107"/>
    <w:bookmarkStart w:id="108" w:name="X1c304199ff39e2e5340603106f512b99eba353b"/>
    <w:p>
      <w:pPr>
        <w:pStyle w:val="Heading2"/>
      </w:pPr>
      <w:r>
        <w:t xml:space="preserve">2. Verificação das 30 afirmações que o analista confere primeiro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Afirmação no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XP350 produz 7.020 blocos 14/turno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contratual Gervasi REV00, p.3 — anexo do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molde 15–20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(~15 min) e p.6 (até 20 min, bolsas de 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H6 ≈530 m²/turno; ~74 m²/h derivado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✅/📌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dígitos comprimidos no PDF; derivação declarada no 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123.750 hab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via 2 veículos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49.065; Jaguaré 28.931; demais populações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(lista completa conferida)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SM–NV = 64–67 km (Miguel Curry Carneiro)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quilometragem + CEPs por trecho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Planta no km 35, entre Nova Verona (km 20–37) e Nestor Gomes (km 37+)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oficial de CEP por faixa de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de fabricantes no km 28–35 (Pre Santos, EO Pereira, Blocos Gama, ITT, Megalaje)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cadastros/diretórios com endereço e CNPJ; conferível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fabricantes com Selo ABCP no ES, todos em Aracruz/Serra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[53][58][59][60]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do selo + sites dos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prisional Linhares 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notícia oficial SEJUS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Cerâmica ES ~50 milhões peças/mês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reportagem setorial ES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Cimento: 64,7 Mt vendas (+3,9%) e 64,8 Mt consumo (+4,1%) em 2024; 67 Mt em 2025 (+3,7%)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[18][19][20]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fontes independentes; redação distingue vendas × consumo aparente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per capita ~280 kg/hab/ano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publicado (não mais derivação própria)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BlocoBrasil: capacidade ~100 mi blocos/mês (pesquisa mar/2013)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agora datada no texto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MCMV-ES: 18,06 mil UH contratadas 2023–25 (R$ 2,62 bi); ~3,8 mil concluídas/ano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Secom/Gov. 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Déficit habitacional São Mateus ~3 mil moradias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 Online (título literal)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 SM: 26 ruas, R$ 7 mi, &gt;32 mil m², 10 km meio-fio, recursos SERD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[67][135]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reconfirmado em 2ª busca; detalhes oficiais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Jaguaré: 13 ruas em blocos, R$ 4,3 mi (Fundo Cidades), pacote R$ 23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reconfirmado em 2ª busca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SEAG fornece blocos e meios-fios no Calçamento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oficial do programa — achado da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Caminhos do Campo: +476 km anunciados; R$ 257,4 mi no biênio (reportagem)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[137][72]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476 km em página SEAG; 257,4 mi atribuído à reportagem no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Gabriel da Palha R$ 4,1 mi em blocos; Boa Esperança 22,9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[70][71]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notícias oficiais estaduais/municipais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Indústria ES +20,2% (1S2026, PIM-PF/IBGE; BR +1,5%)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[40][131]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 agora explícito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Seacrest: US$ 699 mi investidos; ~R$ 1 bi/ano; meta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[38][39]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imprensa regional/econômica com números consistentes entre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Marcopolo São Mateus: R$ 260 mi, +500 empregos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Dia ES/A Gazeta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FNE 2026: R$ 52,6 bi; ES R$ 1,3 bi; indústria prioritária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[123][124][125]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Sudene + BNB oficiais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Sudene inclui 31 municípios do ES (LC 185/2021), todos os 9 da área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[132][133][130]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+ legislação — 🔁 (era</w:t>
            </w:r>
            <w:r>
              <w:t xml:space="preserve"> </w:t>
            </w:r>
            <w:r>
              <w:t xml:space="preserve">“</w:t>
            </w:r>
            <w:r>
              <w:t xml:space="preserve">28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SINAPI-ES 06/2026: bloco 14 estrutural fbk6 R$ 4,80 … paver e=6 R$ 69,97–88,39/m²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oficial Caixa (SINAPI-ES, ref. 06/2026, sem desoneração) processada localmente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 a granel R$ 350–550/t (nacional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indicativa; estudo manda cotar localmente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EDP-ES +15,53% (2025/26); subestação simplificada até 300 kVA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[14][15][13]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ANEEL (notícia + REH 3.508) e norma EDP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da ind. de transformação: 27,3% em 5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[126][127]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Sebrae/Agência Brasil</w:t>
            </w:r>
          </w:p>
        </w:tc>
      </w:tr>
    </w:tbl>
    <w:bookmarkEnd w:id="108"/>
    <w:bookmarkStart w:id="109" w:name="Xb279f5d0e9c278b08d2eaae7d6119f07c5a663b"/>
    <w:p>
      <w:pPr>
        <w:pStyle w:val="Heading2"/>
      </w:pPr>
      <w:r>
        <w:t xml:space="preserve">3. Premissas técnicas declaradas (sem fonte pública — rotuladas no texto)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Sensibilidade/justificativa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do cimento destinada a artefatos vibroprensados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8–15% (central 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varia 3,4–6,4 mi blocos-eq; método é só validação cruzada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Método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Novas UH/ano na área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700–1.000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 de crescimento censitário + MCMV + déficit + loteamentos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Método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Blocos por 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2.200–3.000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 blocos/m² [90] × paredes de casa 50–70 m² +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/ Apêndice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Anualização do pipeline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pacotes ÷ 2–3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dupla contagem; obras sem data ficam fora da soma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/ §8.1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cimento por bloco 14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de mercado ~1,05 [17]; vibrocompactação economiza até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Preços-alvo de venda GTK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10–25% abaixo da mediana SINAPI-ES; validar com 5 cotações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 de vendas (% do mercado em 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ved. 45% (36+9), estrutural+compl. 30% (26+4), paver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derivado do SAM (24–33%→25%); horas da planta alocadas na proporção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tributária sobre 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Simples Anexo II no topo (15,0% [140]) e L. Presumido típico; regime a definir com contador (upside)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 média do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derivada: 31,2% (planilha, aba Mix e Plano); adotado valor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§13.2/§13.4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Cascata de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 dias úteis − paradas = ~210 dias efetivos (OEE ~76%)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[141][142]; manutenção [145][146]; benchmark OEE [143][144]; não planejadas 6% e refugo 2% como premissas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Custos fixos mensais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decomposição item a item no §13.3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Serviço da dívida FNE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~R$ 46–50 mil/mês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recomendação: ~R$ 4,0–4,5 mi em 12 anos (DSCR ≥1,35); substituir pela simulação BNB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§13.4</w:t>
            </w:r>
          </w:p>
        </w:tc>
      </w:tr>
    </w:tbl>
    <w:bookmarkEnd w:id="109"/>
    <w:bookmarkStart w:id="110" w:name="X5bb87ff09c69dc4263bd2fa3b262fbd62e809ae"/>
    <w:p>
      <w:pPr>
        <w:pStyle w:val="Heading2"/>
      </w:pPr>
      <w:r>
        <w:t xml:space="preserve">4. Correções aplicadas nesta auditoria (transparência total)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Base única de receita</w:t>
      </w:r>
      <w:r>
        <w:t xml:space="preserve">: as tabelas §5.4 e §13.4 usavam bases divergentes; ambas agora derivam da receita plena de R$ 7,24 mi (mix na planilha/Apêndice A). Receitas por cenário recalculadas (ex.: 60% = R$ 4,3 mi, antes</w:t>
      </w:r>
      <w:r>
        <w:t xml:space="preserve"> </w:t>
      </w:r>
      <w:r>
        <w:t xml:space="preserve">“</w:t>
      </w:r>
      <w:r>
        <w:t xml:space="preserve">4,6</w:t>
      </w:r>
      <w:r>
        <w:t xml:space="preserve">”</w:t>
      </w:r>
      <w:r>
        <w:t xml:space="preserve">; 95% = R$ 6,9 mi, antes</w:t>
      </w:r>
      <w:r>
        <w:t xml:space="preserve"> </w:t>
      </w:r>
      <w:r>
        <w:t xml:space="preserve">“</w:t>
      </w:r>
      <w:r>
        <w:t xml:space="preserve">7,0</w:t>
      </w:r>
      <w:r>
        <w:t xml:space="preserve">”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Ponto de equilíbrio operacional</w:t>
      </w:r>
      <w:r>
        <w:t xml:space="preserve">: de</w:t>
      </w:r>
      <w:r>
        <w:t xml:space="preserve"> </w:t>
      </w:r>
      <w:r>
        <w:t xml:space="preserve">“</w:t>
      </w:r>
      <w:r>
        <w:t xml:space="preserve">≈29%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≈25% da capacidade de 1 turno</w:t>
      </w:r>
      <w:r>
        <w:t xml:space="preserve"> </w:t>
      </w:r>
      <w:r>
        <w:t xml:space="preserve">(R$ 149 mil/mês ÷ R$ 7,24 mi ÷ 12 = 24,6%).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Equilíbrio com dívida</w:t>
      </w:r>
      <w:r>
        <w:t xml:space="preserve">: consolidado em</w:t>
      </w:r>
      <w:r>
        <w:t xml:space="preserve"> </w:t>
      </w:r>
      <w:r>
        <w:rPr>
          <w:bCs/>
          <w:b/>
        </w:rPr>
        <w:t xml:space="preserve">R$ 320 mil/mês ≈ 53%</w:t>
      </w:r>
      <w:r>
        <w:t xml:space="preserve"> </w:t>
      </w:r>
      <w:r>
        <w:t xml:space="preserve">(SAC ~R$ 60 mil/mês pós-carência).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EBITDA de regime</w:t>
      </w:r>
      <w:r>
        <w:t xml:space="preserve">: de</w:t>
      </w:r>
      <w:r>
        <w:t xml:space="preserve"> </w:t>
      </w:r>
      <w:r>
        <w:t xml:space="preserve">“</w:t>
      </w:r>
      <w:r>
        <w:t xml:space="preserve">R$ 1,3–1,5 mi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R$ 1,3–1,4 mi</w:t>
      </w:r>
      <w:r>
        <w:t xml:space="preserve"> </w:t>
      </w:r>
      <w:r>
        <w:t xml:space="preserve">(75–80% × 7,24 × 35% − 0,62).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Shares do SAM</w:t>
      </w:r>
      <w:r>
        <w:t xml:space="preserve">: ano 1 de</w:t>
      </w:r>
      <w:r>
        <w:t xml:space="preserve"> </w:t>
      </w:r>
      <w:r>
        <w:t xml:space="preserve">“</w:t>
      </w:r>
      <w:r>
        <w:t xml:space="preserve">13–19%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12–20%</w:t>
      </w:r>
      <w:r>
        <w:t xml:space="preserve">; anos 1–2</w:t>
      </w:r>
      <w:r>
        <w:t xml:space="preserve"> </w:t>
      </w:r>
      <w:r>
        <w:t xml:space="preserve">“</w:t>
      </w:r>
      <w:r>
        <w:t xml:space="preserve">13–28%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12–27%</w:t>
      </w:r>
      <w:r>
        <w:t xml:space="preserve">; regime</w:t>
      </w:r>
      <w:r>
        <w:t xml:space="preserve"> </w:t>
      </w:r>
      <w:r>
        <w:t xml:space="preserve">“</w:t>
      </w:r>
      <w:r>
        <w:t xml:space="preserve">25–36%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22–36%</w:t>
      </w:r>
      <w:r>
        <w:t xml:space="preserve">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Física do frete</w:t>
      </w:r>
      <w:r>
        <w:t xml:space="preserve">: truck de 13–14 t carrega ~1.090–1.180 blocos (não 1.700–2.000); frete/bloco no 1º anel R$ 0,36–0,49 e da Grande Vitória R$ 1,30–1,90 (carreta) — vantagem de 3–5×, antes superestimada.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Sudene</w:t>
      </w:r>
      <w:r>
        <w:t xml:space="preserve">: de</w:t>
      </w:r>
      <w:r>
        <w:t xml:space="preserve"> </w:t>
      </w:r>
      <w:r>
        <w:t xml:space="preserve">“</w:t>
      </w:r>
      <w:r>
        <w:t xml:space="preserve">28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31 municípios do ES (LC nº 185/2021)</w:t>
      </w:r>
      <w:r>
        <w:t xml:space="preserve">, com fonte legal e lista incluindo os 9 municípios da área de influência.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Consumo per capita de cimento</w:t>
      </w:r>
      <w:r>
        <w:t xml:space="preserve">: substituída derivação própria (~318 kg) pelo número publicado (</w:t>
      </w:r>
      <w:r>
        <w:rPr>
          <w:bCs/>
          <w:b/>
        </w:rPr>
        <w:t xml:space="preserve">~280 kg/hab/ano</w:t>
      </w:r>
      <w:r>
        <w:t xml:space="preserve">), reduzindo o Método A para 42,8 mil t/ano na área.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Método A</w:t>
      </w:r>
      <w:r>
        <w:t xml:space="preserve"> </w:t>
      </w:r>
      <w:r>
        <w:t xml:space="preserve">reclassificado como validação cruzada com premissa declarada (8–15%) — antes o percentual aparecia apoiado em referência que não o publica.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BlocoBrasil</w:t>
      </w:r>
      <w:r>
        <w:t xml:space="preserve"> </w:t>
      </w:r>
      <w:r>
        <w:t xml:space="preserve">datada (pesquisa de março/2013) e tratada como referência histórica.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Indústria ES +20,2%</w:t>
      </w:r>
      <w:r>
        <w:t xml:space="preserve"> </w:t>
      </w:r>
      <w:r>
        <w:t xml:space="preserve">com período e pesquisa explícitos (1S2026, PIM-PF/IBGE) e segunda fonte.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Custo variável</w:t>
      </w:r>
      <w:r>
        <w:t xml:space="preserve">: padronizado R$ 1,85 industrial / R$ 2,28 total (o</w:t>
      </w:r>
      <w:r>
        <w:t xml:space="preserve"> </w:t>
      </w:r>
      <w:r>
        <w:t xml:space="preserve">“</w:t>
      </w:r>
      <w:r>
        <w:t xml:space="preserve">R$ 1,90</w:t>
      </w:r>
      <w:r>
        <w:t xml:space="preserve">”</w:t>
      </w:r>
      <w:r>
        <w:t xml:space="preserve"> </w:t>
      </w:r>
      <w:r>
        <w:t xml:space="preserve">remanescente é meta operacional, rotulada como meta); obras de Pedro Canário/Pinheiros marcadas como histórico fora da soma anual; citação [22] realocada para custo de implantação; MCMV 8–11 mi blocos/ano qualificado como teto de premissa.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Mix por absorção de mercado (v3)</w:t>
      </w:r>
      <w:r>
        <w:t xml:space="preserve">: o mix anterior (40/20/15/10/15% dos dias de produção) era premissa qualitativa; substituído pelo método em 3 passos — capacidade máxima por produto → horas alocadas na proporção do valor que cada família representa no mercado (45% vedação, 30% estrutural+complementos, 25% paver) → escala única até o teto. A participação de cada produto na receita anual agora é mostrada separadamente (§5.4).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Teto de receita EPP (v3)</w:t>
      </w:r>
      <w:r>
        <w:t xml:space="preserve">: plano-base limitado a R$ 4.791.000/ano (&lt; R$ 4,8 mi da LC 123 [139]) — decisão de conservadorismo e enquadramento de porte (independe do regime tributário); vende-se menos do que se fabrica.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Carga tributária (v3)</w:t>
      </w:r>
      <w:r>
        <w:t xml:space="preserve">: premissa anterior de 8,5% (faixa inicial do Simples) era indefensável no teto da faixa; corrigida para 15% com comparação Simples Anexo II × Lucro Presumido (folha enxuta) no §13.2 — MC média passou de 35% para 30% (derivada 31,2%) e todos os indicadores foram refeitos (BE R$ 173 mil/mês; EBITDA regime R$ 813 mil; DSCR por estrutura de dívida; payback ~9 anos).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Capacidade efetiva (v3)</w:t>
      </w:r>
      <w:r>
        <w:t xml:space="preserve">: a utilização passou a ser medida contra ~210 dias efetivos/ano (cascata §3.7: 252 dias úteis nacionais − 3 feriados locais − manutenção preventiva 16 − trocas 2 − revisão anual 3 − não planejadas 6% − refugo 2%; OEE implícito 76%) — o plano no teto usa 83% da capacidade efetiva (e 66% da nominal), respondendo à diligência sobre feriados e paradas obrigatórias.</w:t>
      </w:r>
    </w:p>
    <w:bookmarkEnd w:id="110"/>
    <w:bookmarkStart w:id="111" w:name="numeração-completa-das-referências"/>
    <w:p>
      <w:pPr>
        <w:pStyle w:val="Heading2"/>
      </w:pPr>
      <w:r>
        <w:t xml:space="preserve">5. Numeração completa das referências</w:t>
      </w:r>
    </w:p>
    <w:p>
      <w:pPr>
        <w:pStyle w:val="FirstParagraph"/>
      </w:pPr>
      <w:r>
        <w:t xml:space="preserve">A lista integral com instituição, descrição e URL de cada uma das 146 referências está em</w:t>
      </w:r>
      <w:r>
        <w:t xml:space="preserve"> </w:t>
      </w:r>
      <w:r>
        <w:rPr>
          <w:rStyle w:val="VerbatimChar"/>
        </w:rPr>
        <w:t xml:space="preserve">fontes.md</w:t>
      </w:r>
      <w:r>
        <w:t xml:space="preserve"> </w:t>
      </w:r>
      <w:r>
        <w:t xml:space="preserve">e na seção 16 do estudo. Nesta auditoria,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foram checadas quanto a: (i) a afirmação do texto corresponder ao conteúdo indexado da fonte; (ii) especificidade da URL (página do dado, não domínio genérico); (iii) uso não decorativo (cada citação alimenta uma conclusão, premissa ou mitigador). As duas únicas citações cuja função mudou ([22] e [61]) estão descritas na seção 1.</w:t>
      </w:r>
    </w:p>
    <w:bookmarkEnd w:id="111"/>
    <w:bookmarkStart w:id="112" w:name="Xb14af6cce8024fa41c36724a61f03bcf5c391a7"/>
    <w:p>
      <w:pPr>
        <w:pStyle w:val="Heading2"/>
      </w:pPr>
      <w:r>
        <w:t xml:space="preserve">6. Limitações remanescentes (para diligência da implantação)</w:t>
      </w:r>
    </w:p>
    <w:p>
      <w:pPr>
        <w:numPr>
          <w:ilvl w:val="0"/>
          <w:numId w:val="1033"/>
        </w:numPr>
        <w:pStyle w:val="Compact"/>
      </w:pPr>
      <w:r>
        <w:t xml:space="preserve">Preços locais de venda e de insumos: calibrar com 5 cotações telefônicas (contatos no cap. 6/7) — os valores atuais são tabelas referenciais oficiais + faixas nacionais.</w:t>
      </w:r>
    </w:p>
    <w:p>
      <w:pPr>
        <w:numPr>
          <w:ilvl w:val="0"/>
          <w:numId w:val="1033"/>
        </w:numPr>
        <w:pStyle w:val="Compact"/>
      </w:pPr>
      <w:r>
        <w:t xml:space="preserve">Valores dos editais CE 001/2025 e CE 005/2025 de São Mateus: consultar PNCP/portal de transparência municipal.</w:t>
      </w:r>
    </w:p>
    <w:p>
      <w:pPr>
        <w:numPr>
          <w:ilvl w:val="0"/>
          <w:numId w:val="1033"/>
        </w:numPr>
        <w:pStyle w:val="Compact"/>
      </w:pPr>
      <w:r>
        <w:t xml:space="preserve">Datas das obras de Pedro Canário e Pinheiros: confirmar em diligência (já fora da soma de demanda).</w:t>
      </w:r>
    </w:p>
    <w:p>
      <w:pPr>
        <w:numPr>
          <w:ilvl w:val="0"/>
          <w:numId w:val="1033"/>
        </w:numPr>
        <w:pStyle w:val="Compact"/>
      </w:pPr>
      <w:r>
        <w:t xml:space="preserve">Confirmar por telefone a venda a granel da Mizu Vitória e o frete até a planta.</w:t>
      </w:r>
    </w:p>
    <w:p>
      <w:pPr>
        <w:numPr>
          <w:ilvl w:val="0"/>
          <w:numId w:val="1033"/>
        </w:numPr>
        <w:pStyle w:val="Compact"/>
      </w:pPr>
      <w:r>
        <w:t xml:space="preserve">As fórmulas da planilha calculam ao abrir no Excel/Google Sheets; o recálculo automatizado do ambiente de elaboração estava indisponível — todos os resultados foram conferidos por recomputação independente em Python (Apêndice A).</w:t>
      </w:r>
    </w:p>
    <w:bookmarkEnd w:id="112"/>
    <w:bookmarkEnd w:id="113"/>
    <w:bookmarkStart w:id="118" w:name="X165649e01e6bfe456e61d0f721d7b48c2890be6"/>
    <w:p>
      <w:pPr>
        <w:pStyle w:val="Heading1"/>
      </w:pPr>
      <w:r>
        <w:t xml:space="preserve">APÊNDICE C — SIMULAÇÃO DE CAPACIDADE DE PAGAMENTO FNE/BNB (algoritmo oficial)</w:t>
      </w:r>
    </w:p>
    <w:p>
      <w:pPr>
        <w:pStyle w:val="FirstParagraph"/>
      </w:pPr>
      <w:r>
        <w:rPr>
          <w:bCs/>
          <w:b/>
        </w:rPr>
        <w:t xml:space="preserve">GTK Pré-Moldados Ltda</w:t>
      </w:r>
      <w:r>
        <w:t xml:space="preserve"> </w:t>
      </w:r>
      <w:r>
        <w:t xml:space="preserve">· 16/08/2026 · Motor que replica a macro VBA</w:t>
      </w:r>
      <w:r>
        <w:t xml:space="preserve"> </w:t>
      </w:r>
      <w:r>
        <w:rPr>
          <w:rStyle w:val="VerbatimChar"/>
        </w:rPr>
        <w:t xml:space="preserve">calcularAmortizacaoIndustrial</w:t>
      </w:r>
      <w:r>
        <w:t xml:space="preserve"> </w:t>
      </w:r>
      <w:r>
        <w:t xml:space="preserve">da planilha oficial do BNB (validado ao centavo em 3 projetos reais — 76/76 valores). Cenário A (regra oficial: aplicação integral no ano 1).</w:t>
      </w:r>
    </w:p>
    <w:bookmarkStart w:id="114" w:name="premissas-confirmadas-pelo-consultor"/>
    <w:p>
      <w:pPr>
        <w:pStyle w:val="Heading2"/>
      </w:pPr>
      <w:r>
        <w:t xml:space="preserve">Premissas (confirmadas pelo consultor)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nominal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8,8945% a.a.</w:t>
            </w:r>
            <w:r>
              <w:t xml:space="preserve"> </w:t>
            </w:r>
            <w:r>
              <w:t xml:space="preserve">(juros mensais compostos; taxa em Currency como no VBA; sem considerar bônus de adimplência)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meses (12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Carência testada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24 / 36 meses (juros pagos trimestralmente na carência; capitalização dos não pagos)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BRUTA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Estudo v3: ano 1 R$ 2.750.000 · ano 2 R$ 3.850.000 · anos 3–12 R$ 4.791.000 (teto EPP)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padrão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Faixa indicada pelo consultor: 76,72% a 84,39%</w:t>
            </w:r>
            <w:r>
              <w:t xml:space="preserve"> </w:t>
            </w:r>
            <w:r>
              <w:t xml:space="preserve">(o enquadramento exato é do sistema do BNB — resultados nos dois extremos)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Dívidas existentes (SER)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— empresa constituída em 28/04/2026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 (12º mês), curva</w:t>
            </w:r>
            <w:r>
              <w:t xml:space="preserve"> </w:t>
            </w:r>
            <w:r>
              <w:rPr>
                <w:bCs/>
                <w:b/>
              </w:rPr>
              <w:t xml:space="preserve">equalizada</w:t>
            </w:r>
            <w:r>
              <w:t xml:space="preserve"> </w:t>
            </w:r>
            <w:r>
              <w:t xml:space="preserve">(comprometimento igual em todos os anos, como a planilha faz nativo)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 do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Comprometimento da capacidade de pagamento entre</w:t>
            </w:r>
            <w:r>
              <w:t xml:space="preserve"> </w:t>
            </w:r>
            <w:r>
              <w:rPr>
                <w:bCs/>
                <w:b/>
              </w:rPr>
              <w:t xml:space="preserve">30% e 50%</w:t>
            </w:r>
          </w:p>
        </w:tc>
      </w:tr>
    </w:tbl>
    <w:bookmarkEnd w:id="114"/>
    <w:bookmarkStart w:id="115" w:name="X521604761859523483414a3fc2913dab17ddd21"/>
    <w:p>
      <w:pPr>
        <w:pStyle w:val="Heading2"/>
      </w:pPr>
      <w:r>
        <w:t xml:space="preserve">Resultado 1 — O pleito de R$ 4.800.000 NÃO passa em nenhuma combinação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24m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36m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76,72% (piso)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51,3% —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54,9% —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61,2% — fora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84,39% (teto)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91,3–91,5% —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96,8–96,9% —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108,0–108,2% — fora</w:t>
            </w:r>
          </w:p>
        </w:tc>
      </w:tr>
    </w:tbl>
    <w:bookmarkEnd w:id="115"/>
    <w:bookmarkStart w:id="116" w:name="X883187e78f6390cdfca9ce08ffba512655c9245"/>
    <w:p>
      <w:pPr>
        <w:pStyle w:val="Heading2"/>
      </w:pPr>
      <w:r>
        <w:t xml:space="preserve">Resultado 2 — Principal MÁXIMO aprovável (comprometimento equalizado ≤ 50%)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24m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Carência 36m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76,72% (piso)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R$ 4.700.000</w:t>
            </w:r>
            <w:r>
              <w:t xml:space="preserve"> </w:t>
            </w:r>
            <w:r>
              <w:t xml:space="preserve">(49,9%)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R$ 4.460.000</w:t>
            </w:r>
            <w:r>
              <w:t xml:space="preserve"> </w:t>
            </w:r>
            <w:r>
              <w:t xml:space="preserve">(50,0%)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R$ 4.090.000 (49,9%)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84,39% (teto)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R$ 3.150.000 (49,8%)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R$ 2.990.000</w:t>
            </w:r>
            <w:r>
              <w:t xml:space="preserve"> </w:t>
            </w:r>
            <w:r>
              <w:t xml:space="preserve">(50,0%)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R$ 2.740.000 (49,9%)</w:t>
            </w:r>
          </w:p>
        </w:tc>
      </w:tr>
    </w:tbl>
    <w:p>
      <w:pPr>
        <w:pStyle w:val="BodyText"/>
      </w:pPr>
      <w:r>
        <w:t xml:space="preserve">Leituras importantes: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 custo padrão decide o projeto.</w:t>
      </w:r>
      <w:r>
        <w:t xml:space="preserve"> </w:t>
      </w:r>
      <w:r>
        <w:t xml:space="preserve">Entre os extremos da faixa (76,72% × 84,39%), o financiamento aprovável varia de ~R$ 3,0 mi a ~R$ 4,5–4,7 mi — exatamente a sensibilidade documentada na skill (nota de honestidade). Antes de protocolar, vale confirmar no sistema/analista qual enquadramento (natureza indústria × porte pequena) será aplicado.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Carência menor melhora o comprometimento</w:t>
      </w:r>
      <w:r>
        <w:t xml:space="preserve"> </w:t>
      </w:r>
      <w:r>
        <w:t xml:space="preserve">neste caso: com 12 meses de carência sobram 11 amortizações anuais (em vez de 10 ou 9), diluindo o principal — e o ramp-up do ano 2 (R$ 3,85 mi) já sustenta a primeira amortização equalizada.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Coerência com o estudo v3:</w:t>
      </w:r>
      <w:r>
        <w:t xml:space="preserve"> </w:t>
      </w:r>
      <w:r>
        <w:t xml:space="preserve">no piso da faixa de custo, a simulação oficial confirma a recomendação do §13.4 (financiar ~R$ 4,0–4,5 mi em 12 anos) — R$ 4.460.000 com carência de 24 meses fecha a janela em 50,0%. No teto da faixa (84,39% ≈ o custo operacional reconstruído do próprio estudo, 83%), o aprovável cai para ~R$ 3,0 mi, exigindo mais contrapartida própria (o capital subscrito de R$ 7,5 milhões comporta).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Ano 1 (carência):</w:t>
      </w:r>
      <w:r>
        <w:t xml:space="preserve"> </w:t>
      </w:r>
      <w:r>
        <w:t xml:space="preserve">capacidade de pagamento positiva nos dois extremos (R$ 227 mil no piso; R$ 16 mil no teto do custo) — sem gatilho de alerta, mas no custo alto a folga do ano 1 é mínima: o cronograma de aporte dos sócios deve cobrir os juros trimestrais da carência com margem.</w:t>
      </w:r>
    </w:p>
    <w:bookmarkEnd w:id="116"/>
    <w:bookmarkStart w:id="117" w:name="cenário-recomendado-para-o-protocolo"/>
    <w:p>
      <w:pPr>
        <w:pStyle w:val="Heading2"/>
      </w:pPr>
      <w:r>
        <w:t xml:space="preserve">Cenário recomendado para o protocolo</w:t>
      </w:r>
    </w:p>
    <w:p>
      <w:pPr>
        <w:pStyle w:val="FirstParagraph"/>
      </w:pPr>
      <w:r>
        <w:rPr>
          <w:bCs/>
          <w:b/>
        </w:rPr>
        <w:t xml:space="preserve">Pleito de R$ 4.400.000, prazo 144 meses, carência 24 meses</w:t>
      </w:r>
      <w:r>
        <w:t xml:space="preserve"> </w:t>
      </w:r>
      <w:r>
        <w:t xml:space="preserve">— passa no piso da faixa (comprometimento equalizado de 49,1%) e deixa claro o plano B negociado: se o analista aplicar custo padrão no teto da faixa, redimensionar para ~R$ 3,0 mi com contrapartida própria maior, sem alterar o projeto físico. Alternativa de defesa: demonstrar com o próprio estudo (margem de contribuição de 30–31% + fixos de 13%) que o custo operacional real da planta automática fica abaixo do teto da faixa.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Detalhe do cenário R$ 4.400.000 · custo 76,72% · carência 24m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Comprometimento equalizado (anos 3–12)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49,1% (dentro de 30–50%)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Capacidade de pagamento no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R$ 0,74–1,08 mi/ano (crescente com a queda dos juros)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 da carência (pagos trimestralmente)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~R$ 379 mil/ano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Notas de rigor: (i) simulação pela regra oficial de desembolso (aplicação integral no ano 1 — conservadora: superestima os juros iniciais; o desembolso real escalonado do cronograma físico só melhora o quadro); (ii) taxa cheia, sem bônus de adimplência (pagamento pontual reduz o desembolso efetivo); (iii) valores a validar na simulação do sistema do BNB no protocolo — este anexo usa o mesmo algoritmo da planilha oficial, mas o enquadramento de custo padrão e a taxa contratual final são definidos pelo banco.</w:t>
      </w:r>
    </w:p>
    <w:bookmarkEnd w:id="117"/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2026-08-16T17:21:59Z</dcterms:created>
  <dcterms:modified xsi:type="dcterms:W3CDTF">2026-08-16T17:21:59Z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