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 w:rsidRPr="00C3733B">
        <w:rPr>
          <w:color w:val="EE0000"/>
        </w:rPr>
        <w:t>O empreendimento compreende planta de britagem de 170–180 toneladas/hora — britadores Metso (mandíbulas C117 e cônico HP350e) — com produção estimada crescente: de ~3.500 m³/mês de produto no 1º ano de operação até ~12.000 m³/mês a partir do 3º ano, dentro do teto licenciado, amparado pelo Registro de Licença ANM nº 8/2021 (validade até 31/08/2029) e pela Licença de Instalação IEMA nº 000478/2025-D (válida até 16/10/2029).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São Mateus é o município mais populoso do norte do Espírito Santo (134,4 mil habitantes — IBGE, estimativa 2025; 8º do Estado) e polo de uma área de influência de 250 a 500 mil habitantes. A demanda corrente de brita apenas na sede é estimada em 215–230 mil t/ano, por duas vias independentes e convergentes: o consumo efetivo de brita no Espírito Santo apurado nas vendas declaradas à ANM (RAL), de 1,6–1,7 t/hab/ano em 2024–2025, e o parâmetro setorial da ANEPAC. A demanda regional total situa-se entre 250 e 600 mil t/ano, conforme o cenário.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/>
      </w:r>
    </w:p>
    <w:p w14:paraId="74720E3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oferta local, porém, é mínima: não há extração mineral ativa no município — a presença concorrente na cidade limita-se a um pátio de distribuição de pedreira sediada em Pinheiros — e, pela base de arrecadação da CFEM (ANM, granito/ES, 2025), o único produtor de porte da região opera a ~73 km da sede, com os concorrentes relevantes mais próximos produzindo a 55–75 km. A jazida da CIPREM está a ~35 km: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 xml:space="preserve"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No setor privado, operam na praça centrais de concreto de grupos consolidados (Polimix e Pedramix), consumidoras contínuas de brita e areia industrial, às quais se soma o consumo cativo do próprio grupo: a Concreto Britaki e a linha de artefatos e premoldados da própria CIPREM (CNAE 23.30-3/02) absorvem parte relevante das frações finas, historicamente as de escoamento mais difícil em pedreiras entrantes.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