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A régua lista praças de mercado — os municípios do raio, pela respectiva sede. Localidades internas a São Mateus, como o distrito de Nestor Gomes onde está a jazida, não recebem linha própria: estão cobertas pela linha do município, cuja população já as inclui.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Sul e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(70–100 mil t/ano) — o mercado endereçável situa-se entre 421 e 577 mil t/ano, faixa inalterada em relação à versão anterior: a entrada de Boa Esperança na base apenas realoca uma camada, sem criar mercado novo. Pedro Canário e a franja norte permanecem fora: há vazio de oferta local, mas a desvantagem de frete de R$ 28 a 35/t não é compensável, e o estudo lhes atribui peso zero. É contra a faixa de 421–577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>São Mateus vive um ciclo atípico de investimentos (mais de R$ 1 bilhão em obras estaduais em andamento). Para cada obra foram levantados, quando públicos, a empresa executora (cliente-alvo direto) e a quantidade contratada, com o consumo de agregado estimado por dois referenciais, cada um no seu lugar: o fator setorial da ANEPAC para rodovias (1 km ≈ 9.800 t — tabela apresentada ao Senado em 2009 e reproduzida pelo CETEM), validado por composições oficiais (banda de 6,1–11,0 mil t/km); e, para pavimentação urbana completa, a banda composicional de 0,73–0,93 t/m² derivada camada a camada das tabelas oficiais DER-ES/SINAPI-ES — memória de cálculo anexa, Anexos B e 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anos; a Bacia 1, contratada por 1.620 dias, avança até ~2031).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70 a 100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421–577 mil t/ano, o ciclo extraordinário de obras públicas e o crescimento populacional de 13,5% na década, projeta-se demanda regional sustentada por agregados ao longo de todo o horizonte do financiamento. O pareamento com o serviço da dívida fecha a conta pelos 14 anos (memória de cálculo anexa): pelo SAC, a produção que quita as parcelas com folga (DSCR 1,3) cai de ~210 mil t/ano no pico (ano 3) para ~139 mil no ano 14, e o mínimo (DSCR 1,0), de ~174 para ~122 mil; a captura recorrente SEM nenhuma obra — apenas os pesos do item 8 sobre a demanda corrente — é de 165 a 185 mil t/ano, cobrindo o mínimo sozinha a partir do ano 6, enquanto os anos 3–5, de maior exigência, são exatamente os anos da janela de obras (70–100 mil t/ano adicionais contratados).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rPr>
          <w:b w:val="0"/>
        </w:rPr>
        <w:t>Guriri é um balneário em malha planejada (avenidas e ruas numeradas, com avenidas até a 11ª e ruas até a 31ª), com cerca de 8 km de extensão norte-sul, historicamente com vias precárias e sujeitas a alagamento — os bairros oficiais Guriri Norte e Guriri Sul somam ~144 logradouros com CEP (69–70 + 74), com numeração que alcança a Rua 48 e a Avenida 12ª — acima da premissa de grade, o que indica que a estimativa de área abaixo é piso. O plano-mestre de macrodrenagem e pavimentação, dividido em três bacias, equivale, na prática, à pavimentação de toda a malha principal do balneário — estimada em ~40 a 48 km de vias / 350 a 400 mil m² de pavimento, ancorada nas quantidades já contratadas (Bacia 1: 13,5 km e ~125 mil m², ou seja, 9,26 m de largura média por metro linear; Bacia 2: até 10,6 km de galerias). Em toneladas, pela banda composicional oficial (0,73–0,93 t/m² — DER-ES/SINAPI, memória anexa), a malha completa representa 256 a 374 mil t de agregados, das quais 219 a 312 mil t são PRODUTOS DE BRITAGEM — em urbanização com intertravado sobre areia, quase todo agregado comprado é produto de pedreira (colchão de pó, base de BGS, gravilha e pó nos blocos).</w:t>
      </w:r>
    </w:p>
    <w:p>
      <w:pPr>
        <w:spacing w:after="140" w:line="276"/>
        <w:jc w:val="both"/>
      </w:pPr>
      <w:r>
        <w:rPr>
          <w:b w:val="0"/>
        </w:rPr>
        <w:t>As Bacias 1 e 2 já endereçam algo como 22 a 30 km de vias — malha cuja brita já está contada na camada de obras do item 6.3. Restam, para os próximos anos, a Bacia 3 e as ruas fora das bacias — estimadas em ~15 a 20 km / 125 a 150 mil m², o que representa de 78 a 117 mil toneladas de PRODUTOS DE BRITAGEM de demanda potencial só na pavimentação remanescente de Guriri (a faixa da versão anterior, 75–90, fica no piso da banda composicional): é essa a parcela que as projeções incorporam, pouco mais de um terço do potencial do balneário (35,7%–37,5%, pareando cenário a cenário). O ritmo é ditado pela lógica construtiva — pavimenta-se depois de drenar, bacia a bacia (Bacia 2 até 2028; Bacia 1 por 1.620 dias contratuais; Bacia 3 a licitar) —, o que espalha essa demanda pelos anos 5 a 10 do projeto (~13 a 19 mil t/ano) em vez de esgotá-la na janela inicial. A isso se soma o fluxo contínuo de novos loteamentos — verificados em ago/2026: Soma Vibe (Soma Urbanismo, entrega prevista 2029), Mar Aberto (Guriri Sul), Verão Vermelho e Bosque; o "Portal do Ribeirão" citado em versão anterior não foi confirmado em São Mateus e saiu da lista —,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 — um só município, contado uma única vez na demanda do item 6 — é onde a CIPREM produz mais perto que qualquer concorrente, de qualquer porte, e onde estão o grosso da demanda e as obras. A vantagem sobre o concorrente de volume mais próximo (Mattar, 66,8 km) é de R$ 23,8/t, chegando a R$ 31,7/t contra a MCL (75,5 km); mesmo contra o produtor mais próximo de todos, a Usibrita (57,1 km), a margem é de R$ 14,9/t. Dentro do município há ainda um gradiente de margem que orienta a prioridade comercial, sem constituir mercado adicional: entregar junto à cava custa R$ 11,2/t de frete (12,3 km até o distrito-sede de Nestor Gomes, medidos) contra R$ 37,0/t até a sede municipal — a mesma tonelada rende mais quanto mais perto for vendida.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 — faixa inalterada, já que Boa Esperança apenas mudou de camada e manteve o mesmo peso.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421–577 mil t/ano somadas a praça disputada de Jaguaré, as praças alcançáveis por CIF e as obras — contra o qual o platô de 237,5 mil t/ano representa 41 a 56%; (ii) um ciclo extraordinário de obras públicas (&gt;R$ 1 bilhão) que adiciona 70–100 mil t/ano de brita durante a janela de construção, além do potencial da malha completa de Guriri — 256–374 mil t de agregados, dos quais 219–312 mil t de produtos de britagem (banda composicional oficial) —, do qual as projeções incorporam apenas o remanescente (78–117 mil t, pouco mais de um terço); (iii) vantagem logística estrutural e medida em roteirizador — R$ 23,8/t sobre o concorrente de volume mais próximo na sede, R$ 31,7/t sobre a MCL e R$ 14,9/t mesmo sobre o produtor mais próximo de todos,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 — valor que passou a servir à leitura de margem interna do item 8, e não à régua competitiva, da qual a linha do corredor foi retirada por ser localidade do próprio município de São Mateus, já contado uma vez. Com isso a régua do item 4 repousa inteiramente em distâncias medidas ponta a ponta, salvo as internas dos concorrentes às próprias sedes. Seguem pendentes, para refino e não para o argumento,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