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i w:val="0"/>
          <w:sz w:val="28"/>
        </w:rPr>
        <w:t>MEMÓRIA DE CÁLCULO — DEMANDA DAS GRANDES OBRAS E POTENCIAL DE PAVIMENTAÇÃO DE GURIRI</w:t>
      </w:r>
    </w:p>
    <w:p>
      <w:pPr>
        <w:spacing w:after="120"/>
      </w:pPr>
      <w:r>
        <w:rPr>
          <w:b w:val="0"/>
          <w:i/>
          <w:color w:val="595959"/>
          <w:sz w:val="18"/>
        </w:rPr>
        <w:t>CIPREM Cimento e Premoldados Ltda ME · São Mateus/ES · agosto/2026 · acompanha o Estudo de Mercado v4 (itens 6.3 e 7.2) e a Carta Consulta (seção 3)</w:t>
      </w:r>
    </w:p>
    <w:p>
      <w:pPr>
        <w:spacing w:after="120" w:before="200"/>
      </w:pPr>
      <w:r>
        <w:rPr>
          <w:b/>
          <w:i w:val="0"/>
          <w:sz w:val="26"/>
        </w:rPr>
        <w:t>0. Método, fatores e selos de qualidade</w:t>
      </w:r>
    </w:p>
    <w:p>
      <w:pPr>
        <w:spacing w:after="120"/>
      </w:pPr>
      <w:r>
        <w:rPr>
          <w:b w:val="0"/>
          <w:i w:val="0"/>
        </w:rPr>
        <w:t>Cada número do parágrafo de obras da Carta Consulta é decomposto abaixo em: fonte primária, coeficiente aplicado, conta aritmética e um selo de qualidade. Os selos são três:</w:t>
      </w:r>
    </w:p>
    <w:p>
      <w:pPr>
        <w:spacing w:after="120"/>
      </w:pPr>
      <w:r>
        <w:rPr>
          <w:b w:val="0"/>
          <w:i w:val="0"/>
          <w:sz w:val="19"/>
        </w:rPr>
        <w:t>DOCUMENTAL — quantidade publicada em edital, contrato ou comunicação oficial (km, m², R$, prazo). · COEFICIENTE — fator setorial declarado, aplicado a uma quantidade documental. · PREMISSA — hipótese nossa, declarada e testável, usada onde não há quantidade publicada.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Fator</w:t>
            </w:r>
          </w:p>
        </w:tc>
        <w:tc>
          <w:tcPr>
            <w:tcW w:type="dxa" w:w="2880"/>
          </w:tcPr>
          <w:p>
            <w:r>
              <w:rPr>
                <w:b/>
                <w:sz w:val="18"/>
              </w:rPr>
              <w:t>Valor</w:t>
            </w:r>
          </w:p>
        </w:tc>
        <w:tc>
          <w:tcPr>
            <w:tcW w:type="dxa" w:w="2880"/>
          </w:tcPr>
          <w:p>
            <w:r>
              <w:rPr>
                <w:b/>
                <w:sz w:val="18"/>
              </w:rPr>
              <w:t>Fonte e uso</w:t>
            </w:r>
          </w:p>
        </w:tc>
      </w:tr>
      <w:tr>
        <w:tc>
          <w:tcPr>
            <w:tcW w:type="dxa" w:w="2880"/>
          </w:tcPr>
          <w:p>
            <w:r>
              <w:rPr>
                <w:sz w:val="18"/>
              </w:rPr>
              <w:t>Agregados por km de rodovia nova (2 faixas)</w:t>
            </w:r>
          </w:p>
        </w:tc>
        <w:tc>
          <w:tcPr>
            <w:tcW w:type="dxa" w:w="2880"/>
          </w:tcPr>
          <w:p>
            <w:r>
              <w:rPr>
                <w:sz w:val="18"/>
              </w:rPr>
              <w:t>9.800 t/km</w:t>
            </w:r>
          </w:p>
        </w:tc>
        <w:tc>
          <w:tcPr>
            <w:tcW w:type="dxa" w:w="2880"/>
          </w:tcPr>
          <w:p>
            <w:r>
              <w:rPr>
                <w:sz w:val="18"/>
              </w:rPr>
              <w:t>ANEPAC, fator de engenharia; aplicado a km documentais</w:t>
            </w:r>
          </w:p>
        </w:tc>
      </w:tr>
      <w:tr>
        <w:tc>
          <w:tcPr>
            <w:tcW w:type="dxa" w:w="2880"/>
          </w:tcPr>
          <w:p>
            <w:r>
              <w:rPr>
                <w:sz w:val="18"/>
              </w:rPr>
              <w:t>Agregados por m² de urbanização completa</w:t>
            </w:r>
          </w:p>
        </w:tc>
        <w:tc>
          <w:tcPr>
            <w:tcW w:type="dxa" w:w="2880"/>
          </w:tcPr>
          <w:p>
            <w:r>
              <w:rPr>
                <w:sz w:val="18"/>
              </w:rPr>
              <w:t>0,73–0,93 t/m²</w:t>
            </w:r>
          </w:p>
        </w:tc>
        <w:tc>
          <w:tcPr>
            <w:tcW w:type="dxa" w:w="2880"/>
          </w:tcPr>
          <w:p>
            <w:r>
              <w:rPr>
                <w:sz w:val="18"/>
              </w:rPr>
              <w:t>BANDA COMPOSICIONAL derivada das composições oficiais DER-ES/LABOR-UFES e SINAPI-ES (Anexo B). Substitui, nesta versão, o 1,4 t/m² antes usado — que era, na origem, o fator de EDIFICAÇÃO da ANEPAC (1.360 t/1.000 m²) transplantado indevidamente para pavimentação; a linha setorial de pavimentação urbana simples (2.000–3.250 t/km em pista de 10 m = 0,20–0,33 t/m²) cobre só o recapeamento de pista, não a urbanização completa sobre areia</w:t>
            </w:r>
          </w:p>
        </w:tc>
      </w:tr>
      <w:tr>
        <w:tc>
          <w:tcPr>
            <w:tcW w:type="dxa" w:w="2880"/>
          </w:tcPr>
          <w:p>
            <w:r>
              <w:rPr>
                <w:sz w:val="18"/>
              </w:rPr>
              <w:t>Participação da brita no mix de agregados</w:t>
            </w:r>
          </w:p>
        </w:tc>
        <w:tc>
          <w:tcPr>
            <w:tcW w:type="dxa" w:w="2880"/>
          </w:tcPr>
          <w:p>
            <w:r>
              <w:rPr>
                <w:sz w:val="18"/>
              </w:rPr>
              <w:t>42%</w:t>
            </w:r>
          </w:p>
        </w:tc>
        <w:tc>
          <w:tcPr>
            <w:tcW w:type="dxa" w:w="2880"/>
          </w:tcPr>
          <w:p>
            <w:r>
              <w:rPr>
                <w:sz w:val="18"/>
              </w:rPr>
              <w:t>ANEPAC (mesma fonte do índice de consumo 1,669 t/hab/ano usado no Estudo)</w:t>
            </w:r>
          </w:p>
        </w:tc>
      </w:tr>
    </w:tbl>
    <w:p>
      <w:pPr>
        <w:spacing w:after="120"/>
      </w:pPr>
      <w:r>
        <w:rPr>
          <w:b w:val="0"/>
          <w:i/>
          <w:color w:val="595959"/>
          <w:sz w:val="18"/>
        </w:rPr>
        <w:t>Aviso herdado do Estudo (item 6.3): estas toneladas dimensionam a ESCALA do mercado — não são quantitativos de projeto executivo, e variam com o tipo de pavimento e as espessuras de projeto.</w:t>
      </w:r>
    </w:p>
    <w:p>
      <w:pPr>
        <w:spacing w:after="120" w:before="200"/>
      </w:pPr>
      <w:r>
        <w:rPr>
          <w:b/>
          <w:i w:val="0"/>
          <w:sz w:val="26"/>
        </w:rPr>
        <w:t>1. As frases do parágrafo, uma a uma</w:t>
      </w:r>
    </w:p>
    <w:p>
      <w:pPr>
        <w:spacing w:after="120" w:before="160"/>
      </w:pPr>
      <w:r>
        <w:rPr>
          <w:b/>
          <w:i w:val="0"/>
          <w:sz w:val="22"/>
        </w:rPr>
        <w:t>Frase 1 — “Em conjunto, essas frentes representam entre 700 e 950 mil toneladas de agregados”</w:t>
      </w:r>
    </w:p>
    <w:p>
      <w:pPr>
        <w:spacing w:after="120"/>
      </w:pPr>
      <w:r>
        <w:rPr>
          <w:b w:val="0"/>
          <w:i w:val="0"/>
        </w:rPr>
        <w:t>Reconstrução obra a obra pelas composições oficiais (revisada nesta versão), com a hipótese de cada parcela à vista: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Frente de obra</w:t>
            </w:r>
          </w:p>
        </w:tc>
        <w:tc>
          <w:tcPr>
            <w:tcW w:type="dxa" w:w="2160"/>
          </w:tcPr>
          <w:p>
            <w:r>
              <w:rPr>
                <w:b/>
                <w:sz w:val="18"/>
              </w:rPr>
              <w:t>Conta</w:t>
            </w:r>
          </w:p>
        </w:tc>
        <w:tc>
          <w:tcPr>
            <w:tcW w:type="dxa" w:w="2160"/>
          </w:tcPr>
          <w:p>
            <w:r>
              <w:rPr>
                <w:b/>
                <w:sz w:val="18"/>
              </w:rPr>
              <w:t>mil t de agregados</w:t>
            </w:r>
          </w:p>
        </w:tc>
        <w:tc>
          <w:tcPr>
            <w:tcW w:type="dxa" w:w="2160"/>
          </w:tcPr>
          <w:p>
            <w:r>
              <w:rPr>
                <w:b/>
                <w:sz w:val="18"/>
              </w:rPr>
              <w:t>Selo</w:t>
            </w:r>
          </w:p>
        </w:tc>
      </w:tr>
      <w:tr>
        <w:tc>
          <w:tcPr>
            <w:tcW w:type="dxa" w:w="2160"/>
          </w:tcPr>
          <w:p>
            <w:r>
              <w:rPr>
                <w:sz w:val="18"/>
              </w:rPr>
              <w:t>Contorno ES-318 — 24,6 km</w:t>
            </w:r>
          </w:p>
        </w:tc>
        <w:tc>
          <w:tcPr>
            <w:tcW w:type="dxa" w:w="2160"/>
          </w:tcPr>
          <w:p>
            <w:r>
              <w:rPr>
                <w:sz w:val="18"/>
              </w:rPr>
              <w:t>24,6 × 9.800 (setorial, validado pela banda composicional 6,1–11,0 mil t/km)</w:t>
            </w:r>
          </w:p>
        </w:tc>
        <w:tc>
          <w:tcPr>
            <w:tcW w:type="dxa" w:w="2160"/>
          </w:tcPr>
          <w:p>
            <w:r>
              <w:rPr>
                <w:sz w:val="18"/>
              </w:rPr>
              <w:t>241</w:t>
            </w:r>
          </w:p>
        </w:tc>
        <w:tc>
          <w:tcPr>
            <w:tcW w:type="dxa" w:w="2160"/>
          </w:tcPr>
          <w:p>
            <w:r>
              <w:rPr>
                <w:sz w:val="18"/>
              </w:rPr>
              <w:t>COEFICIENTE (km documental)</w:t>
            </w:r>
          </w:p>
        </w:tc>
      </w:tr>
      <w:tr>
        <w:tc>
          <w:tcPr>
            <w:tcW w:type="dxa" w:w="2160"/>
          </w:tcPr>
          <w:p>
            <w:r>
              <w:rPr>
                <w:sz w:val="18"/>
              </w:rPr>
              <w:t>Duplicação ES-315 — 12,06 km (pista nova)</w:t>
            </w:r>
          </w:p>
        </w:tc>
        <w:tc>
          <w:tcPr>
            <w:tcW w:type="dxa" w:w="2160"/>
          </w:tcPr>
          <w:p>
            <w:r>
              <w:rPr>
                <w:sz w:val="18"/>
              </w:rPr>
              <w:t>12,06 × 9.800</w:t>
            </w:r>
          </w:p>
        </w:tc>
        <w:tc>
          <w:tcPr>
            <w:tcW w:type="dxa" w:w="2160"/>
          </w:tcPr>
          <w:p>
            <w:r>
              <w:rPr>
                <w:sz w:val="18"/>
              </w:rPr>
              <w:t>118</w:t>
            </w:r>
          </w:p>
        </w:tc>
        <w:tc>
          <w:tcPr>
            <w:tcW w:type="dxa" w:w="2160"/>
          </w:tcPr>
          <w:p>
            <w:r>
              <w:rPr>
                <w:sz w:val="18"/>
              </w:rPr>
              <w:t>COEFICIENTE (km documental)</w:t>
            </w:r>
          </w:p>
        </w:tc>
      </w:tr>
      <w:tr>
        <w:tc>
          <w:tcPr>
            <w:tcW w:type="dxa" w:w="2160"/>
          </w:tcPr>
          <w:p>
            <w:r>
              <w:rPr>
                <w:sz w:val="18"/>
              </w:rPr>
              <w:t>BR-101 terceiras faixas — 21,6 km</w:t>
            </w:r>
          </w:p>
        </w:tc>
        <w:tc>
          <w:tcPr>
            <w:tcW w:type="dxa" w:w="2160"/>
          </w:tcPr>
          <w:p>
            <w:r>
              <w:rPr>
                <w:sz w:val="18"/>
              </w:rPr>
              <w:t>21,6 × 9.800 × 30–50%</w:t>
            </w:r>
          </w:p>
        </w:tc>
        <w:tc>
          <w:tcPr>
            <w:tcW w:type="dxa" w:w="2160"/>
          </w:tcPr>
          <w:p>
            <w:r>
              <w:rPr>
                <w:sz w:val="18"/>
              </w:rPr>
              <w:t>64–106</w:t>
            </w:r>
          </w:p>
        </w:tc>
        <w:tc>
          <w:tcPr>
            <w:tcW w:type="dxa" w:w="2160"/>
          </w:tcPr>
          <w:p>
            <w:r>
              <w:rPr>
                <w:sz w:val="18"/>
              </w:rPr>
              <w:t>PREMISSA (km documental)</w:t>
            </w:r>
          </w:p>
        </w:tc>
      </w:tr>
      <w:tr>
        <w:tc>
          <w:tcPr>
            <w:tcW w:type="dxa" w:w="2160"/>
          </w:tcPr>
          <w:p>
            <w:r>
              <w:rPr>
                <w:sz w:val="18"/>
              </w:rPr>
              <w:t>Bacia 1 — pavimentação 125 mil m²</w:t>
            </w:r>
          </w:p>
        </w:tc>
        <w:tc>
          <w:tcPr>
            <w:tcW w:type="dxa" w:w="2160"/>
          </w:tcPr>
          <w:p>
            <w:r>
              <w:rPr>
                <w:sz w:val="18"/>
              </w:rPr>
              <w:t>125.000 × 0,73–0,93 t/m² (composicional)</w:t>
            </w:r>
          </w:p>
        </w:tc>
        <w:tc>
          <w:tcPr>
            <w:tcW w:type="dxa" w:w="2160"/>
          </w:tcPr>
          <w:p>
            <w:r>
              <w:rPr>
                <w:sz w:val="18"/>
              </w:rPr>
              <w:t>91–117</w:t>
            </w:r>
          </w:p>
        </w:tc>
        <w:tc>
          <w:tcPr>
            <w:tcW w:type="dxa" w:w="2160"/>
          </w:tcPr>
          <w:p>
            <w:r>
              <w:rPr>
                <w:sz w:val="18"/>
              </w:rPr>
              <w:t>COMPOSICIONAL (m² do edital)</w:t>
            </w:r>
          </w:p>
        </w:tc>
      </w:tr>
      <w:tr>
        <w:tc>
          <w:tcPr>
            <w:tcW w:type="dxa" w:w="2160"/>
          </w:tcPr>
          <w:p>
            <w:r>
              <w:rPr>
                <w:sz w:val="18"/>
              </w:rPr>
              <w:t>Bacia 1 — galerias 13,5 km</w:t>
            </w:r>
          </w:p>
        </w:tc>
        <w:tc>
          <w:tcPr>
            <w:tcW w:type="dxa" w:w="2160"/>
          </w:tcPr>
          <w:p>
            <w:r>
              <w:rPr>
                <w:sz w:val="18"/>
              </w:rPr>
              <w:t>13.500 m × 2,4–4,0 m³/m × 2,10–2,19 t/m³</w:t>
            </w:r>
          </w:p>
        </w:tc>
        <w:tc>
          <w:tcPr>
            <w:tcW w:type="dxa" w:w="2160"/>
          </w:tcPr>
          <w:p>
            <w:r>
              <w:rPr>
                <w:sz w:val="18"/>
              </w:rPr>
              <w:t>68–118</w:t>
            </w:r>
          </w:p>
        </w:tc>
        <w:tc>
          <w:tcPr>
            <w:tcW w:type="dxa" w:w="2160"/>
          </w:tcPr>
          <w:p>
            <w:r>
              <w:rPr>
                <w:sz w:val="18"/>
              </w:rPr>
              <w:t>COMPOSICIONAL sobre PREMISSA de seção</w:t>
            </w:r>
          </w:p>
        </w:tc>
      </w:tr>
      <w:tr>
        <w:tc>
          <w:tcPr>
            <w:tcW w:type="dxa" w:w="2160"/>
          </w:tcPr>
          <w:p>
            <w:r>
              <w:rPr>
                <w:sz w:val="18"/>
              </w:rPr>
              <w:t>Bacia 2 — paridade de valor 0,85–1,0 × Bacia 1</w:t>
            </w:r>
          </w:p>
        </w:tc>
        <w:tc>
          <w:tcPr>
            <w:tcW w:type="dxa" w:w="2160"/>
          </w:tcPr>
          <w:p>
            <w:r>
              <w:rPr>
                <w:sz w:val="18"/>
              </w:rPr>
              <w:t>0,85–1,0 × (159–235 mil t)</w:t>
            </w:r>
          </w:p>
        </w:tc>
        <w:tc>
          <w:tcPr>
            <w:tcW w:type="dxa" w:w="2160"/>
          </w:tcPr>
          <w:p>
            <w:r>
              <w:rPr>
                <w:sz w:val="18"/>
              </w:rPr>
              <w:t>135–235</w:t>
            </w:r>
          </w:p>
        </w:tc>
        <w:tc>
          <w:tcPr>
            <w:tcW w:type="dxa" w:w="2160"/>
          </w:tcPr>
          <w:p>
            <w:r>
              <w:rPr>
                <w:sz w:val="18"/>
              </w:rPr>
              <w:t>PREMISSA (valor documental)</w:t>
            </w:r>
          </w:p>
        </w:tc>
      </w:tr>
      <w:tr>
        <w:tc>
          <w:tcPr>
            <w:tcW w:type="dxa" w:w="2160"/>
          </w:tcPr>
          <w:p>
            <w:r>
              <w:rPr>
                <w:sz w:val="18"/>
              </w:rPr>
              <w:t>Pontes/OAE e drenagens menores</w:t>
            </w:r>
          </w:p>
        </w:tc>
        <w:tc>
          <w:tcPr>
            <w:tcW w:type="dxa" w:w="2160"/>
          </w:tcPr>
          <w:p>
            <w:r>
              <w:rPr>
                <w:sz w:val="18"/>
              </w:rPr>
              <w:t>ordem de grandeza</w:t>
            </w:r>
          </w:p>
        </w:tc>
        <w:tc>
          <w:tcPr>
            <w:tcW w:type="dxa" w:w="2160"/>
          </w:tcPr>
          <w:p>
            <w:r>
              <w:rPr>
                <w:sz w:val="18"/>
              </w:rPr>
              <w:t>5–15</w:t>
            </w:r>
          </w:p>
        </w:tc>
        <w:tc>
          <w:tcPr>
            <w:tcW w:type="dxa" w:w="2160"/>
          </w:tcPr>
          <w:p>
            <w:r>
              <w:rPr>
                <w:sz w:val="18"/>
              </w:rPr>
              <w:t>PREMISSA</w:t>
            </w:r>
          </w:p>
        </w:tc>
      </w:tr>
      <w:tr>
        <w:tc>
          <w:tcPr>
            <w:tcW w:type="dxa" w:w="2160"/>
          </w:tcPr>
          <w:p>
            <w:r>
              <w:rPr>
                <w:sz w:val="18"/>
              </w:rPr>
              <w:t>SOMA DA RECONSTRUÇÃO</w:t>
            </w:r>
          </w:p>
        </w:tc>
        <w:tc>
          <w:tcPr>
            <w:tcW w:type="dxa" w:w="2160"/>
          </w:tcPr>
          <w:p>
            <w:r>
              <w:rPr>
                <w:sz w:val="18"/>
              </w:rPr>
            </w:r>
          </w:p>
        </w:tc>
        <w:tc>
          <w:tcPr>
            <w:tcW w:type="dxa" w:w="2160"/>
          </w:tcPr>
          <w:p>
            <w:r>
              <w:rPr>
                <w:sz w:val="18"/>
              </w:rPr>
              <w:t>723–951</w:t>
            </w:r>
          </w:p>
        </w:tc>
        <w:tc>
          <w:tcPr>
            <w:tcW w:type="dxa" w:w="2160"/>
          </w:tcPr>
          <w:p>
            <w:r>
              <w:rPr>
                <w:sz w:val="18"/>
              </w:rPr>
            </w:r>
          </w:p>
        </w:tc>
      </w:tr>
    </w:tbl>
    <w:p>
      <w:pPr>
        <w:spacing w:after="120"/>
      </w:pPr>
      <w:r>
        <w:rPr>
          <w:b w:val="0"/>
          <w:i w:val="0"/>
        </w:rPr>
        <w:t>A reconstrução composicional soma 723 a 951 mil t — contra a faixa publicada no Estudo (700 a 950 mil t): o teto coincide (951 ≈ 950) e o piso publicado é ~3% MAIS CONSERVADOR que o composicional (700 &lt; 723). E a lista nem inclui as frentes menores catalogadas (Fundo Cidades ~R$ 59 mi, Sítio Histórico do Porto &gt;R$ 10 mi, Mercado Municipal, Complexo de Saúde). Nota de revisão: a versão anterior desta tabela somava 862–1.030 mil t usando 1,4 t/m² na pavimentação da Bacia 1; com a banda composicional (0,73–0,93 t/m²), a parcela cai e a soma converge exatamente para a faixa publicada.</w:t>
      </w:r>
    </w:p>
    <w:p>
      <w:pPr>
        <w:spacing w:after="120" w:before="160"/>
      </w:pPr>
      <w:r>
        <w:rPr>
          <w:b/>
          <w:i w:val="0"/>
          <w:sz w:val="22"/>
        </w:rPr>
        <w:t>Frase 2 — “a brita responde por cerca de 40% a 45% desse mix — entre 300 e 400 mil toneladas no período”</w:t>
      </w:r>
    </w:p>
    <w:p>
      <w:pPr>
        <w:spacing w:after="120"/>
      </w:pPr>
      <w:r>
        <w:rPr>
          <w:b w:val="0"/>
          <w:i w:val="0"/>
        </w:rPr>
        <w:t>Conta: 700–950 mil t de agregados × 42% (participação da brita no mix, ANEPAC) = 294–399 mil t ⇒ arredondado no texto para 300–400 mil t. A banda “40% a 45%” do texto é a faixa usual do parâmetro; a conta usa o valor central de 42%. Nota de auditoria: o piso publicado (300) arredonda o exato (294) para cima em 2% — arredondamento de comunicação, declarado aqui com o valor exato ao lado. Selo: COEFICIENTE.</w:t>
      </w:r>
    </w:p>
    <w:p>
      <w:pPr>
        <w:spacing w:after="120" w:before="160"/>
      </w:pPr>
      <w:r>
        <w:rPr>
          <w:b/>
          <w:i w:val="0"/>
          <w:sz w:val="22"/>
        </w:rPr>
        <w:t>Frase 3 — “ou 70 a 100 mil t/ano de demanda extraordinária durante a janela de obras”</w:t>
      </w:r>
    </w:p>
    <w:p>
      <w:pPr>
        <w:spacing w:after="120"/>
      </w:pPr>
      <w:r>
        <w:rPr>
          <w:b w:val="0"/>
          <w:i w:val="0"/>
        </w:rPr>
        <w:t>Conta: 300–400 mil t ÷ janela de 4 anos = 75–100 mil t/ano ⇒ publicado como 70–100 (o piso publicado, 70, é ligeiramente mais conservador que a divisão exata, 75). A janela de 4 anos vem dos prazos contratuais: Contorno 35 meses a partir de nov/2024; ES-315 até dez/2026; BR-101 terceiras faixas até dez/2027; Bacia 2 até 2028; Bacia 1 com 1.620 dias (~4,4 anos) a partir da ordem de serviço. Se a janela real se esticar a ~6 anos (cauda da Bacia 1 até ~2031 + Bacia 3), o fluxo anual cai a 50–67 mil t/ano e DURA mais — o total não muda, e a cobertura passa a alcançar os anos 5–6, exatamente os do gap: janela mais longa é cenário FAVORÁVEL ao projeto. Selo: DOCUMENTAL (prazos) + COEFICIENTE (divisão).</w:t>
      </w:r>
    </w:p>
    <w:p>
      <w:pPr>
        <w:spacing w:after="120" w:before="160"/>
      </w:pPr>
      <w:r>
        <w:rPr>
          <w:b/>
          <w:i w:val="0"/>
          <w:sz w:val="22"/>
        </w:rPr>
        <w:t>Frase 4 — “a malha planejada de Guriri (11 avenidas e 31 ruas ao longo de ~8 km) … 350 a 400 mil m² de vias”</w:t>
      </w:r>
    </w:p>
    <w:p>
      <w:pPr>
        <w:spacing w:after="120"/>
      </w:pPr>
      <w:r>
        <w:rPr>
          <w:b w:val="0"/>
          <w:i w:val="0"/>
        </w:rPr>
        <w:t>A malha é estimada por grade: 40–48 km de vias × largura média de caixa. A âncora da largura é o próprio contrato da Bacia 1: 125.000 m² ÷ 13,5 km = 9,26 m por metro linear. 40–48 km × ~8,3–8,7 m ≈ 350–400 mil m². Cruzamentos independentes: os bairros oficiais Guriri Norte e Guriri Sul somam ~144 logradouros com CEP (69–70 + 74 — diretórios divergem em ±1; um deles, visivelmente incompleto, lista 17 [E30, E31]). E a toponímia oficial REFORÇA o conservadorismo: os nomes registrados alcançam a Rua Quarenta e Oito e a Avenida Décima Segunda [E32, E33, E41] — acima da premissa de grade (31 ruas / 11 avenidas) usada na estimativa. Contexto físico para evitar confusão: a ILHA de Guriri tem ~42 km e ~102 km² [E40], mas o balneário urbanizado de São Mateus ocupa ~8 km dela — a malha aqui estimada é a do balneário, não a da ilha. Selo: PREMISSA ancorada em DOCUMENTAL — e é o número com o plano de refino mais concreto: o protocolo de 17 medições da planilha Levantamento_Guriri.xlsx (seção 3 desta memória) substitui a estimativa por um inventário rua a rua medido.</w:t>
      </w:r>
    </w:p>
    <w:p>
      <w:pPr>
        <w:spacing w:after="120" w:before="160"/>
      </w:pPr>
      <w:r>
        <w:rPr>
          <w:b/>
          <w:i w:val="0"/>
          <w:sz w:val="22"/>
        </w:rPr>
        <w:t>Frase 5 — “entre 450 e 520 mil toneladas de agregados” — REBASEADA na banda composicional oficial</w:t>
      </w:r>
    </w:p>
    <w:p>
      <w:pPr>
        <w:spacing w:after="120"/>
      </w:pPr>
      <w:r>
        <w:rPr>
          <w:b w:val="0"/>
          <w:i w:val="0"/>
        </w:rPr>
        <w:t>HISTÓRICO COMPLETO, sem esconder nada: o texto original usava 1,3 t/m²; a revisão anterior o corrigiu para 1,4 t/m² acreditando ser o fator ANEPAC de pavimentação urbana; a verificação de fontes desta rodada mostrou que 1,4 é, na origem, o fator de EDIFICAÇÃO (1.360 t/1.000 m²) — e que a linha setorial de pavimentação urbana (0,20–0,33 t/m²) cobre só pista simples. Esta versão abandona ambos e deriva o fator das COMPOSIÇÕES OFICIAIS (DER-ES/LABOR-UFES e SINAPI-ES, Anexo B), camada por camada da via completa sobre areia: 0,73–0,93 t/m² de agregados totais, dos quais 0,62–0,78 t/m² são PRODUTOS DE BRITAGEM — pó de pedra, BGS, gravilha dos blocos e a fração de brita dos concretos, INCLUÍDA a drenagem superficial; o rejunte, sem material especificado em norma, foi tratado como areia natural, hipótese conservadora contra a pedreira. Conta nova: 350–400 mil m² × banda = 256–374 mil t de agregados na malha completa — dos quais 219–312 mil t são produtos de britagem, o número que interessa à CIPREM. Repare no efeito das duas correções combinadas: os AGREGADOS TOTAIS caem (a estimativa anterior, 490–560, estava inflada pelo fator de edificação), mas os PRODUTOS DE BRITAGEM sobem (a cadeia antiga aplicava a participação nacional de 42%, que subestima a urbanização em intertravado sobre areia — ali praticamente todo agregado comprado é produto de pedreira: o colchão é pó, a base é BGS, os blocos são gravilha e pó prensados, e não se compra areia natural para o subleito, que já é areia). Sem dupla contagem com as galerias das Bacias 1 e 2, contadas na frase 1. Selo: COMPOSICIONAL sobre PREMISSA de área.</w:t>
      </w:r>
    </w:p>
    <w:p>
      <w:pPr>
        <w:spacing w:after="120" w:before="160"/>
      </w:pPr>
      <w:r>
        <w:rPr>
          <w:b/>
          <w:i w:val="0"/>
          <w:sz w:val="22"/>
        </w:rPr>
        <w:t>Frase 6 — “As projeções incorporam 75 a 90 mil t desse potencial” — REBASEADA: 78–117 mil t de produtos de britagem, pouco mais de um terço</w:t>
      </w:r>
    </w:p>
    <w:p>
      <w:pPr>
        <w:spacing w:after="120"/>
      </w:pPr>
      <w:r>
        <w:rPr>
          <w:b w:val="0"/>
          <w:i w:val="0"/>
        </w:rPr>
        <w:t>Remanescente (Bacia 3 + ruas fora das bacias): 125–150 mil m² × banda composicional = 91–140 mil t de agregados, dos quais 78–117 mil t de PRODUTOS DE BRITAGEM — é essa a parcela que as projeções incorporam. A faixa anterior (75–90, obtida por 1,4 × 42%) fica praticamente no piso da banda nova: as duas distorções da cadeia antiga se compensavam quase exatamente, e a derivação oficial RATIFICA e ALARGA para cima o número publicado. O “cerca de 15% a 20%” original dividia unidades diferentes; na mesma unidade, pareando cenário a cenário, o share incorporado é 35,7%–37,5% — pouco mais de um terço — por área e por tonelagem (numerador e denominador escalam pela mesma banda). Os outros dois terços (a malha das Bacias 1 e 2) já estão contados na camada de obras, com cronograma contratado. Premissa de faseamento, declarada: o remanescente escoa nos anos 5–10 do projeto (6 anos), pelo cronograma das bacias — daí 78–117 ÷ 6 = 13–19 mil t/ano no exhibit do §2. Selo: COMPOSICIONAL.</w:t>
      </w:r>
    </w:p>
    <w:p>
      <w:pPr>
        <w:spacing w:after="120" w:before="160"/>
      </w:pPr>
      <w:r>
        <w:rPr>
          <w:b/>
          <w:i w:val="0"/>
          <w:sz w:val="22"/>
        </w:rPr>
        <w:t>Frase 7 — “demanda adicional, real e já contratada em parte”</w:t>
      </w:r>
    </w:p>
    <w:p>
      <w:pPr>
        <w:spacing w:after="120"/>
      </w:pPr>
      <w:r>
        <w:rPr>
          <w:b w:val="0"/>
          <w:i w:val="0"/>
        </w:rPr>
        <w:t>DOCUMENTAL, com o detalhe por frente (evidências no Anexo A): Bacia 2 — lado Sul — em execução pelo Consórcio Guriri CT (Contractor + Transmar; RDC estimado em R$ 343,97 mi, contratado por R$ 306,5 mi, prazo de 43 meses), com mais de 25% de avanço e mais de 2,5 km dos 10,6 km de galerias executados, fase inicial nas Av. Oceano Índico, Quinta, Homero Zordan e Rafael Barbosa e Ruas Boa Esperança, XXI, José Bonomo e Raphael Brahim [E06–E17]. Bacia 1 — lado Norte — com edital anunciado em 24/03/2026 (R$ 321,8 mi, 13,5 km de galerias, ~125 mil m² de pavimentação, 1.620 dias, vazão de 15 mil L/s), nomeando as Avenidas Décima Primeira, Nona, Esbertalina Barbosa Damiani e Hélio Faria Santos “além de ruas estratégicas” [E01–E05]. Bacia 3: sem previsão publicada [E18], dentro do programa total de ~R$ 1 bilhão declarado pelo Governador [E19]. Contorno ES-318 em execução — a imprensa o chama ora “Contorno de São Mateus”, ora “Contorno de Guriri” (24,26 km ligando a BR-101 aos entroncamentos da ES-315 e ES-010, contrato original de R$ 164 mi, hoje R$ 190,2 mi com aditivos — a diferença entre os pares 24,26 km/R$ 164 mi e 24,6 km/R$ 190,2 mi é original × aditivos, impacto de −0,4% na conta) [E42]: é a MESMA obra, não duas. Registre-se também a tensão de cronograma da Bacia 2: o prazo contratual de 43 meses, contado da assinatura (~2022), apontaria meados de 2026; com &gt;25% executado em 2026, a conclusão publicamente prevista é fim de 2028 — atraso reconhecido, que empurra a demanda para MAIS tarde, não para menos. ES-315 em duplicação (R$ 92,1 mi, conclusão prevista dez/2026) [E25]. E um precedente regional já ENTREGUE comprova o padrão construtivo: a ES-010 Barra Nova–Guriri, 19,86 km pavimentados em blocos, R$ 31 mi, inaugurada em 01/11/2025 [E24]. Antes da macrodrenagem, a Sedurb já havia executado R$ 33 mi com 4.170 m de galerias e pavimentação de três avenidas (2022) [E12], e a Prefeitura pavimentou 18.247 m² / 1,4 km da orla norte com calçadão e ciclovia, com nova fase de 1.080 m prevista até meados de 2026 [E21–E23] — pavimentação existente que representa menos de 10% da malha, mantendo válida a afirmação “majoritariamente sem pavimentação definitiva” [E43: avenidas alagadas em dez/2023].</w:t>
      </w:r>
    </w:p>
    <w:p>
      <w:pPr>
        <w:spacing w:after="120" w:before="160"/>
      </w:pPr>
      <w:r>
        <w:rPr>
          <w:b/>
          <w:i w:val="0"/>
          <w:sz w:val="22"/>
        </w:rPr>
        <w:t>Frase 8 — “As frentes demandam todo o portfólio do projeto”</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Produto da CIPREM</w:t>
            </w:r>
          </w:p>
        </w:tc>
        <w:tc>
          <w:tcPr>
            <w:tcW w:type="dxa" w:w="4320"/>
          </w:tcPr>
          <w:p>
            <w:r>
              <w:rPr>
                <w:b/>
                <w:sz w:val="18"/>
              </w:rPr>
              <w:t>Onde entra nas frentes</w:t>
            </w:r>
          </w:p>
        </w:tc>
      </w:tr>
      <w:tr>
        <w:tc>
          <w:tcPr>
            <w:tcW w:type="dxa" w:w="4320"/>
          </w:tcPr>
          <w:p>
            <w:r>
              <w:rPr>
                <w:sz w:val="18"/>
              </w:rPr>
              <w:t>Britas 0 e 1 (concreto estrutural)</w:t>
            </w:r>
          </w:p>
        </w:tc>
        <w:tc>
          <w:tcPr>
            <w:tcW w:type="dxa" w:w="4320"/>
          </w:tcPr>
          <w:p>
            <w:r>
              <w:rPr>
                <w:sz w:val="18"/>
              </w:rPr>
              <w:t>galerias das Bacias 1–3, pontes do Contorno, estações de bombeamento</w:t>
            </w:r>
          </w:p>
        </w:tc>
      </w:tr>
      <w:tr>
        <w:tc>
          <w:tcPr>
            <w:tcW w:type="dxa" w:w="4320"/>
          </w:tcPr>
          <w:p>
            <w:r>
              <w:rPr>
                <w:sz w:val="18"/>
              </w:rPr>
              <w:t>BGS — brita graduada simples</w:t>
            </w:r>
          </w:p>
        </w:tc>
        <w:tc>
          <w:tcPr>
            <w:tcW w:type="dxa" w:w="4320"/>
          </w:tcPr>
          <w:p>
            <w:r>
              <w:rPr>
                <w:sz w:val="18"/>
              </w:rPr>
              <w:t>base e sub-base do Contorno, ES-315, BR-101 e vias urbanas</w:t>
            </w:r>
          </w:p>
        </w:tc>
      </w:tr>
      <w:tr>
        <w:tc>
          <w:tcPr>
            <w:tcW w:type="dxa" w:w="4320"/>
          </w:tcPr>
          <w:p>
            <w:r>
              <w:rPr>
                <w:sz w:val="18"/>
              </w:rPr>
              <w:t>Pedrisco (CBUQ)</w:t>
            </w:r>
          </w:p>
        </w:tc>
        <w:tc>
          <w:tcPr>
            <w:tcW w:type="dxa" w:w="4320"/>
          </w:tcPr>
          <w:p>
            <w:r>
              <w:rPr>
                <w:sz w:val="18"/>
              </w:rPr>
              <w:t>capas asfálticas do Contorno, ES-315, BR-101 e avenidas</w:t>
            </w:r>
          </w:p>
        </w:tc>
      </w:tr>
      <w:tr>
        <w:tc>
          <w:tcPr>
            <w:tcW w:type="dxa" w:w="4320"/>
          </w:tcPr>
          <w:p>
            <w:r>
              <w:rPr>
                <w:sz w:val="18"/>
              </w:rPr>
              <w:t>Pó de pedra</w:t>
            </w:r>
          </w:p>
        </w:tc>
        <w:tc>
          <w:tcPr>
            <w:tcW w:type="dxa" w:w="4320"/>
          </w:tcPr>
          <w:p>
            <w:r>
              <w:rPr>
                <w:sz w:val="18"/>
              </w:rPr>
              <w:t>colchão de assentamento do bloco intertravado — padrão predominante na pavimentação urbana da região</w:t>
            </w:r>
          </w:p>
        </w:tc>
      </w:tr>
      <w:tr>
        <w:tc>
          <w:tcPr>
            <w:tcW w:type="dxa" w:w="4320"/>
          </w:tcPr>
          <w:p>
            <w:r>
              <w:rPr>
                <w:sz w:val="18"/>
              </w:rPr>
              <w:t>Rachão/pulmão</w:t>
            </w:r>
          </w:p>
        </w:tc>
        <w:tc>
          <w:tcPr>
            <w:tcW w:type="dxa" w:w="4320"/>
          </w:tcPr>
          <w:p>
            <w:r>
              <w:rPr>
                <w:sz w:val="18"/>
              </w:rPr>
              <w:t>drenos, bota-espera e reforço de subleito em solos moles</w:t>
            </w:r>
          </w:p>
        </w:tc>
      </w:tr>
    </w:tbl>
    <w:p>
      <w:pPr>
        <w:spacing w:after="120" w:before="200"/>
      </w:pPr>
      <w:r>
        <w:rPr>
          <w:b/>
          <w:i w:val="0"/>
          <w:sz w:val="26"/>
        </w:rPr>
        <w:t>2. A objeção do analista, enfrentada de frente: e quando as obras acabarem?</w:t>
      </w:r>
    </w:p>
    <w:p>
      <w:pPr>
        <w:spacing w:after="120"/>
      </w:pPr>
      <w:r>
        <w:rPr>
          <w:b w:val="0"/>
          <w:i w:val="0"/>
        </w:rPr>
        <w:t>A objeção esperada: “para cumprir o plano, a CIPREM teria de vender ~240 mil t/ano sozinha, e a demanda extraordinária acaba”. A resposta tem três peças, todas já dentro do pacote — esta seção apenas as põe lado a lado, ano a ano, pelos 14 anos do financiamento.</w:t>
      </w:r>
    </w:p>
    <w:p>
      <w:pPr>
        <w:spacing w:after="120"/>
      </w:pPr>
      <w:r>
        <w:rPr>
          <w:b w:val="0"/>
          <w:i w:val="0"/>
        </w:rPr>
        <w:t>Peça 1 — o platô é META, não necessidade. A dívida (SAC) exige produção DECRESCENTE: no pior ano (3º, pico do serviço de R$ 4,54 mi), o mínimo com DSCR 1,0 é 174 mil t — 73% do platô — e cai, ano a ano, até 122 mil t no 14º (51% do platô). Peça 2 — a demanda RECORRENTE, sem contar UMA TONELADA de obra pública, sustenta captura de 165 a 185 mil t/ano (pesos do item 8 do Estudo sobre a demanda corrente por índice de consumo). Peça 3 — as camadas extraordinárias entram exatamente nos anos em que a exigência é maior, e Guriri segue alimentando o mercado depois delas.</w:t>
      </w:r>
    </w:p>
    <w:p>
      <w:pPr>
        <w:spacing w:after="120"/>
      </w:pPr>
      <w:r>
        <w:rPr>
          <w:b w:val="0"/>
          <w:i w:val="0"/>
          <w:sz w:val="19"/>
        </w:rPr>
        <w:t>Unidade única do exhibit: TODAS as linhas — captura, camadas e produção — estão em produtos de britagem (britas, pó, BGS e derivados), a mesma unidade do platô. A captura usa o índice de 1,669 t/hab/ano, que é um índice DE BRITA: vendas de granito britado declaradas à ANM no RAL (6.888.010,58 t) ÷ população do ES — e a checagem cruzada da ANEPAC o confirma como a fatia da brita (4,1 t/hab/ano de agregados × 41,6% de brita ≈ 1,7; série regional ANEPAC: Sul e Sudeste 4,1 — NE 2,7, N 3,1, CO 4,5). As camadas de obras convertem agregados → brita a 42% antes de entrar. Não há mistura de unidades entre as colunas.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Ano</w:t>
            </w:r>
          </w:p>
        </w:tc>
        <w:tc>
          <w:tcPr>
            <w:tcW w:type="dxa" w:w="1080"/>
          </w:tcPr>
          <w:p>
            <w:r>
              <w:rPr>
                <w:b/>
                <w:sz w:val="18"/>
              </w:rPr>
              <w:t>Produção do plano (mil t)</w:t>
            </w:r>
          </w:p>
        </w:tc>
        <w:tc>
          <w:tcPr>
            <w:tcW w:type="dxa" w:w="1080"/>
          </w:tcPr>
          <w:p>
            <w:r>
              <w:rPr>
                <w:b/>
                <w:sz w:val="18"/>
              </w:rPr>
              <w:t>Mínimo DSCR 1,0</w:t>
            </w:r>
          </w:p>
        </w:tc>
        <w:tc>
          <w:tcPr>
            <w:tcW w:type="dxa" w:w="1080"/>
          </w:tcPr>
          <w:p>
            <w:r>
              <w:rPr>
                <w:b/>
                <w:sz w:val="18"/>
              </w:rPr>
              <w:t>Recomendado DSCR 1,3</w:t>
            </w:r>
          </w:p>
        </w:tc>
        <w:tc>
          <w:tcPr>
            <w:tcW w:type="dxa" w:w="1080"/>
          </w:tcPr>
          <w:p>
            <w:r>
              <w:rPr>
                <w:b/>
                <w:sz w:val="18"/>
              </w:rPr>
              <w:t>Captura recorrente</w:t>
            </w:r>
          </w:p>
        </w:tc>
        <w:tc>
          <w:tcPr>
            <w:tcW w:type="dxa" w:w="1080"/>
          </w:tcPr>
          <w:p>
            <w:r>
              <w:rPr>
                <w:b/>
                <w:sz w:val="18"/>
              </w:rPr>
              <w:t>Obras (janela)</w:t>
            </w:r>
          </w:p>
        </w:tc>
        <w:tc>
          <w:tcPr>
            <w:tcW w:type="dxa" w:w="1080"/>
          </w:tcPr>
          <w:p>
            <w:r>
              <w:rPr>
                <w:b/>
                <w:sz w:val="18"/>
              </w:rPr>
              <w:t>Guriri estrutural</w:t>
            </w:r>
          </w:p>
        </w:tc>
        <w:tc>
          <w:tcPr>
            <w:tcW w:type="dxa" w:w="1080"/>
          </w:tcPr>
          <w:p>
            <w:r>
              <w:rPr>
                <w:b/>
                <w:sz w:val="18"/>
              </w:rPr>
              <w:t>Leitura</w:t>
            </w:r>
          </w:p>
        </w:tc>
      </w:tr>
      <w:tr>
        <w:tc>
          <w:tcPr>
            <w:tcW w:type="dxa" w:w="1080"/>
          </w:tcPr>
          <w:p>
            <w:r>
              <w:rPr>
                <w:sz w:val="18"/>
              </w:rPr>
              <w:t>1</w:t>
            </w:r>
          </w:p>
        </w:tc>
        <w:tc>
          <w:tcPr>
            <w:tcW w:type="dxa" w:w="1080"/>
          </w:tcPr>
          <w:p>
            <w:r>
              <w:rPr>
                <w:sz w:val="18"/>
              </w:rPr>
              <w:t>63</w:t>
            </w:r>
          </w:p>
        </w:tc>
        <w:tc>
          <w:tcPr>
            <w:tcW w:type="dxa" w:w="1080"/>
          </w:tcPr>
          <w:p>
            <w:r>
              <w:rPr>
                <w:sz w:val="18"/>
              </w:rPr>
              <w:t>107</w:t>
            </w:r>
          </w:p>
        </w:tc>
        <w:tc>
          <w:tcPr>
            <w:tcW w:type="dxa" w:w="1080"/>
          </w:tcPr>
          <w:p>
            <w:r>
              <w:rPr>
                <w:sz w:val="18"/>
              </w:rPr>
              <w:t>126</w:t>
            </w:r>
          </w:p>
        </w:tc>
        <w:tc>
          <w:tcPr>
            <w:tcW w:type="dxa" w:w="1080"/>
          </w:tcPr>
          <w:p>
            <w:r>
              <w:rPr>
                <w:sz w:val="18"/>
              </w:rPr>
              <w:t>165–185</w:t>
            </w:r>
          </w:p>
        </w:tc>
        <w:tc>
          <w:tcPr>
            <w:tcW w:type="dxa" w:w="1080"/>
          </w:tcPr>
          <w:p>
            <w:r>
              <w:rPr>
                <w:sz w:val="18"/>
              </w:rPr>
              <w:t>70–100</w:t>
            </w:r>
          </w:p>
        </w:tc>
        <w:tc>
          <w:tcPr>
            <w:tcW w:type="dxa" w:w="1080"/>
          </w:tcPr>
          <w:p>
            <w:r>
              <w:rPr>
                <w:sz w:val="18"/>
              </w:rPr>
              <w:t>—</w:t>
            </w:r>
          </w:p>
        </w:tc>
        <w:tc>
          <w:tcPr>
            <w:tcW w:type="dxa" w:w="1080"/>
          </w:tcPr>
          <w:p>
            <w:r>
              <w:rPr>
                <w:sz w:val="18"/>
              </w:rPr>
              <w:t>carência + ramp; obras absorvem a produção</w:t>
            </w:r>
          </w:p>
        </w:tc>
      </w:tr>
      <w:tr>
        <w:tc>
          <w:tcPr>
            <w:tcW w:type="dxa" w:w="1080"/>
          </w:tcPr>
          <w:p>
            <w:r>
              <w:rPr>
                <w:sz w:val="18"/>
              </w:rPr>
              <w:t>2</w:t>
            </w:r>
          </w:p>
        </w:tc>
        <w:tc>
          <w:tcPr>
            <w:tcW w:type="dxa" w:w="1080"/>
          </w:tcPr>
          <w:p>
            <w:r>
              <w:rPr>
                <w:sz w:val="18"/>
              </w:rPr>
              <w:t>126</w:t>
            </w:r>
          </w:p>
        </w:tc>
        <w:tc>
          <w:tcPr>
            <w:tcW w:type="dxa" w:w="1080"/>
          </w:tcPr>
          <w:p>
            <w:r>
              <w:rPr>
                <w:sz w:val="18"/>
              </w:rPr>
              <w:t>116</w:t>
            </w:r>
          </w:p>
        </w:tc>
        <w:tc>
          <w:tcPr>
            <w:tcW w:type="dxa" w:w="1080"/>
          </w:tcPr>
          <w:p>
            <w:r>
              <w:rPr>
                <w:sz w:val="18"/>
              </w:rPr>
              <w:t>135</w:t>
            </w:r>
          </w:p>
        </w:tc>
        <w:tc>
          <w:tcPr>
            <w:tcW w:type="dxa" w:w="1080"/>
          </w:tcPr>
          <w:p>
            <w:r>
              <w:rPr>
                <w:sz w:val="18"/>
              </w:rPr>
              <w:t>165–185</w:t>
            </w:r>
          </w:p>
        </w:tc>
        <w:tc>
          <w:tcPr>
            <w:tcW w:type="dxa" w:w="1080"/>
          </w:tcPr>
          <w:p>
            <w:r>
              <w:rPr>
                <w:sz w:val="18"/>
              </w:rPr>
              <w:t>70–100</w:t>
            </w:r>
          </w:p>
        </w:tc>
        <w:tc>
          <w:tcPr>
            <w:tcW w:type="dxa" w:w="1080"/>
          </w:tcPr>
          <w:p>
            <w:r>
              <w:rPr>
                <w:sz w:val="18"/>
              </w:rPr>
              <w:t>—</w:t>
            </w:r>
          </w:p>
        </w:tc>
        <w:tc>
          <w:tcPr>
            <w:tcW w:type="dxa" w:w="1080"/>
          </w:tcPr>
          <w:p>
            <w:r>
              <w:rPr>
                <w:sz w:val="18"/>
              </w:rPr>
              <w:t>carência + ramp; obras absorvem a produção</w:t>
            </w:r>
          </w:p>
        </w:tc>
      </w:tr>
      <w:tr>
        <w:tc>
          <w:tcPr>
            <w:tcW w:type="dxa" w:w="1080"/>
          </w:tcPr>
          <w:p>
            <w:r>
              <w:rPr>
                <w:sz w:val="18"/>
              </w:rPr>
              <w:t>3</w:t>
            </w:r>
          </w:p>
        </w:tc>
        <w:tc>
          <w:tcPr>
            <w:tcW w:type="dxa" w:w="1080"/>
          </w:tcPr>
          <w:p>
            <w:r>
              <w:rPr>
                <w:sz w:val="18"/>
              </w:rPr>
              <w:t>238</w:t>
            </w:r>
          </w:p>
        </w:tc>
        <w:tc>
          <w:tcPr>
            <w:tcW w:type="dxa" w:w="1080"/>
          </w:tcPr>
          <w:p>
            <w:r>
              <w:rPr>
                <w:sz w:val="18"/>
              </w:rPr>
              <w:t>174</w:t>
            </w:r>
          </w:p>
        </w:tc>
        <w:tc>
          <w:tcPr>
            <w:tcW w:type="dxa" w:w="1080"/>
          </w:tcPr>
          <w:p>
            <w:r>
              <w:rPr>
                <w:sz w:val="18"/>
              </w:rPr>
              <w:t>210</w:t>
            </w:r>
          </w:p>
        </w:tc>
        <w:tc>
          <w:tcPr>
            <w:tcW w:type="dxa" w:w="1080"/>
          </w:tcPr>
          <w:p>
            <w:r>
              <w:rPr>
                <w:sz w:val="18"/>
              </w:rPr>
              <w:t>165–185</w:t>
            </w:r>
          </w:p>
        </w:tc>
        <w:tc>
          <w:tcPr>
            <w:tcW w:type="dxa" w:w="1080"/>
          </w:tcPr>
          <w:p>
            <w:r>
              <w:rPr>
                <w:sz w:val="18"/>
              </w:rPr>
              <w:t>70–100</w:t>
            </w:r>
          </w:p>
        </w:tc>
        <w:tc>
          <w:tcPr>
            <w:tcW w:type="dxa" w:w="1080"/>
          </w:tcPr>
          <w:p>
            <w:r>
              <w:rPr>
                <w:sz w:val="18"/>
              </w:rPr>
              <w:t>—</w:t>
            </w:r>
          </w:p>
        </w:tc>
        <w:tc>
          <w:tcPr>
            <w:tcW w:type="dxa" w:w="1080"/>
          </w:tcPr>
          <w:p>
            <w:r>
              <w:rPr>
                <w:sz w:val="18"/>
              </w:rPr>
              <w:t>pico do serviço da dívida</w:t>
            </w:r>
          </w:p>
        </w:tc>
      </w:tr>
      <w:tr>
        <w:tc>
          <w:tcPr>
            <w:tcW w:type="dxa" w:w="1080"/>
          </w:tcPr>
          <w:p>
            <w:r>
              <w:rPr>
                <w:sz w:val="18"/>
              </w:rPr>
              <w:t>4</w:t>
            </w:r>
          </w:p>
        </w:tc>
        <w:tc>
          <w:tcPr>
            <w:tcW w:type="dxa" w:w="1080"/>
          </w:tcPr>
          <w:p>
            <w:r>
              <w:rPr>
                <w:sz w:val="18"/>
              </w:rPr>
              <w:t>238</w:t>
            </w:r>
          </w:p>
        </w:tc>
        <w:tc>
          <w:tcPr>
            <w:tcW w:type="dxa" w:w="1080"/>
          </w:tcPr>
          <w:p>
            <w:r>
              <w:rPr>
                <w:sz w:val="18"/>
              </w:rPr>
              <w:t>174</w:t>
            </w:r>
          </w:p>
        </w:tc>
        <w:tc>
          <w:tcPr>
            <w:tcW w:type="dxa" w:w="1080"/>
          </w:tcPr>
          <w:p>
            <w:r>
              <w:rPr>
                <w:sz w:val="18"/>
              </w:rPr>
              <w:t>208</w:t>
            </w:r>
          </w:p>
        </w:tc>
        <w:tc>
          <w:tcPr>
            <w:tcW w:type="dxa" w:w="1080"/>
          </w:tcPr>
          <w:p>
            <w:r>
              <w:rPr>
                <w:sz w:val="18"/>
              </w:rPr>
              <w:t>165–185</w:t>
            </w:r>
          </w:p>
        </w:tc>
        <w:tc>
          <w:tcPr>
            <w:tcW w:type="dxa" w:w="1080"/>
          </w:tcPr>
          <w:p>
            <w:r>
              <w:rPr>
                <w:sz w:val="18"/>
              </w:rPr>
              <w:t>70–100</w:t>
            </w:r>
          </w:p>
        </w:tc>
        <w:tc>
          <w:tcPr>
            <w:tcW w:type="dxa" w:w="1080"/>
          </w:tcPr>
          <w:p>
            <w:r>
              <w:rPr>
                <w:sz w:val="18"/>
              </w:rPr>
              <w:t>—</w:t>
            </w:r>
          </w:p>
        </w:tc>
        <w:tc>
          <w:tcPr>
            <w:tcW w:type="dxa" w:w="1080"/>
          </w:tcPr>
          <w:p>
            <w:r>
              <w:rPr>
                <w:sz w:val="18"/>
              </w:rPr>
              <w:t>janela de obras cobre o piso ~10×</w:t>
            </w:r>
          </w:p>
        </w:tc>
      </w:tr>
      <w:tr>
        <w:tc>
          <w:tcPr>
            <w:tcW w:type="dxa" w:w="1080"/>
          </w:tcPr>
          <w:p>
            <w:r>
              <w:rPr>
                <w:sz w:val="18"/>
              </w:rPr>
              <w:t>5</w:t>
            </w:r>
          </w:p>
        </w:tc>
        <w:tc>
          <w:tcPr>
            <w:tcW w:type="dxa" w:w="1080"/>
          </w:tcPr>
          <w:p>
            <w:r>
              <w:rPr>
                <w:sz w:val="18"/>
              </w:rPr>
              <w:t>238</w:t>
            </w:r>
          </w:p>
        </w:tc>
        <w:tc>
          <w:tcPr>
            <w:tcW w:type="dxa" w:w="1080"/>
          </w:tcPr>
          <w:p>
            <w:r>
              <w:rPr>
                <w:sz w:val="18"/>
              </w:rPr>
              <w:t>169</w:t>
            </w:r>
          </w:p>
        </w:tc>
        <w:tc>
          <w:tcPr>
            <w:tcW w:type="dxa" w:w="1080"/>
          </w:tcPr>
          <w:p>
            <w:r>
              <w:rPr>
                <w:sz w:val="18"/>
              </w:rPr>
              <w:t>200</w:t>
            </w:r>
          </w:p>
        </w:tc>
        <w:tc>
          <w:tcPr>
            <w:tcW w:type="dxa" w:w="1080"/>
          </w:tcPr>
          <w:p>
            <w:r>
              <w:rPr>
                <w:sz w:val="18"/>
              </w:rPr>
              <w:t>165–185</w:t>
            </w:r>
          </w:p>
        </w:tc>
        <w:tc>
          <w:tcPr>
            <w:tcW w:type="dxa" w:w="1080"/>
          </w:tcPr>
          <w:p>
            <w:r>
              <w:rPr>
                <w:sz w:val="18"/>
              </w:rPr>
              <w:t>cauda B1/B3*</w:t>
            </w:r>
          </w:p>
        </w:tc>
        <w:tc>
          <w:tcPr>
            <w:tcW w:type="dxa" w:w="1080"/>
          </w:tcPr>
          <w:p>
            <w:r>
              <w:rPr>
                <w:sz w:val="18"/>
              </w:rPr>
              <w:t>13–19</w:t>
            </w:r>
          </w:p>
        </w:tc>
        <w:tc>
          <w:tcPr>
            <w:tcW w:type="dxa" w:w="1080"/>
          </w:tcPr>
          <w:p>
            <w:r>
              <w:rPr>
                <w:sz w:val="18"/>
              </w:rPr>
              <w:t>janela de obras cobre o piso ~10×</w:t>
            </w:r>
          </w:p>
        </w:tc>
      </w:tr>
      <w:tr>
        <w:tc>
          <w:tcPr>
            <w:tcW w:type="dxa" w:w="1080"/>
          </w:tcPr>
          <w:p>
            <w:r>
              <w:rPr>
                <w:sz w:val="18"/>
              </w:rPr>
              <w:t>6</w:t>
            </w:r>
          </w:p>
        </w:tc>
        <w:tc>
          <w:tcPr>
            <w:tcW w:type="dxa" w:w="1080"/>
          </w:tcPr>
          <w:p>
            <w:r>
              <w:rPr>
                <w:sz w:val="18"/>
              </w:rPr>
              <w:t>238</w:t>
            </w:r>
          </w:p>
        </w:tc>
        <w:tc>
          <w:tcPr>
            <w:tcW w:type="dxa" w:w="1080"/>
          </w:tcPr>
          <w:p>
            <w:r>
              <w:rPr>
                <w:sz w:val="18"/>
              </w:rPr>
              <w:t>164</w:t>
            </w:r>
          </w:p>
        </w:tc>
        <w:tc>
          <w:tcPr>
            <w:tcW w:type="dxa" w:w="1080"/>
          </w:tcPr>
          <w:p>
            <w:r>
              <w:rPr>
                <w:sz w:val="18"/>
              </w:rPr>
              <w:t>193</w:t>
            </w:r>
          </w:p>
        </w:tc>
        <w:tc>
          <w:tcPr>
            <w:tcW w:type="dxa" w:w="1080"/>
          </w:tcPr>
          <w:p>
            <w:r>
              <w:rPr>
                <w:sz w:val="18"/>
              </w:rPr>
              <w:t>165–185</w:t>
            </w:r>
          </w:p>
        </w:tc>
        <w:tc>
          <w:tcPr>
            <w:tcW w:type="dxa" w:w="1080"/>
          </w:tcPr>
          <w:p>
            <w:r>
              <w:rPr>
                <w:sz w:val="18"/>
              </w:rPr>
              <w:t>cauda B1/B3*</w:t>
            </w:r>
          </w:p>
        </w:tc>
        <w:tc>
          <w:tcPr>
            <w:tcW w:type="dxa" w:w="1080"/>
          </w:tcPr>
          <w:p>
            <w:r>
              <w:rPr>
                <w:sz w:val="18"/>
              </w:rPr>
              <w:t>13–19</w:t>
            </w:r>
          </w:p>
        </w:tc>
        <w:tc>
          <w:tcPr>
            <w:tcW w:type="dxa" w:w="1080"/>
          </w:tcPr>
          <w:p>
            <w:r>
              <w:rPr>
                <w:sz w:val="18"/>
              </w:rPr>
              <w:t>piso recorrente cobre o mínimo sozinho</w:t>
            </w:r>
          </w:p>
        </w:tc>
      </w:tr>
      <w:tr>
        <w:tc>
          <w:tcPr>
            <w:tcW w:type="dxa" w:w="1080"/>
          </w:tcPr>
          <w:p>
            <w:r>
              <w:rPr>
                <w:sz w:val="18"/>
              </w:rPr>
              <w:t>7</w:t>
            </w:r>
          </w:p>
        </w:tc>
        <w:tc>
          <w:tcPr>
            <w:tcW w:type="dxa" w:w="1080"/>
          </w:tcPr>
          <w:p>
            <w:r>
              <w:rPr>
                <w:sz w:val="18"/>
              </w:rPr>
              <w:t>238</w:t>
            </w:r>
          </w:p>
        </w:tc>
        <w:tc>
          <w:tcPr>
            <w:tcW w:type="dxa" w:w="1080"/>
          </w:tcPr>
          <w:p>
            <w:r>
              <w:rPr>
                <w:sz w:val="18"/>
              </w:rPr>
              <w:t>159</w:t>
            </w:r>
          </w:p>
        </w:tc>
        <w:tc>
          <w:tcPr>
            <w:tcW w:type="dxa" w:w="1080"/>
          </w:tcPr>
          <w:p>
            <w:r>
              <w:rPr>
                <w:sz w:val="18"/>
              </w:rPr>
              <w:t>186</w:t>
            </w:r>
          </w:p>
        </w:tc>
        <w:tc>
          <w:tcPr>
            <w:tcW w:type="dxa" w:w="1080"/>
          </w:tcPr>
          <w:p>
            <w:r>
              <w:rPr>
                <w:sz w:val="18"/>
              </w:rPr>
              <w:t>165–185</w:t>
            </w:r>
          </w:p>
        </w:tc>
        <w:tc>
          <w:tcPr>
            <w:tcW w:type="dxa" w:w="1080"/>
          </w:tcPr>
          <w:p>
            <w:r>
              <w:rPr>
                <w:sz w:val="18"/>
              </w:rPr>
              <w:t>—</w:t>
            </w:r>
          </w:p>
        </w:tc>
        <w:tc>
          <w:tcPr>
            <w:tcW w:type="dxa" w:w="1080"/>
          </w:tcPr>
          <w:p>
            <w:r>
              <w:rPr>
                <w:sz w:val="18"/>
              </w:rPr>
              <w:t>13–19</w:t>
            </w:r>
          </w:p>
        </w:tc>
        <w:tc>
          <w:tcPr>
            <w:tcW w:type="dxa" w:w="1080"/>
          </w:tcPr>
          <w:p>
            <w:r>
              <w:rPr>
                <w:sz w:val="18"/>
              </w:rPr>
              <w:t>piso recorrente cobre o mínimo sozinho</w:t>
            </w:r>
          </w:p>
        </w:tc>
      </w:tr>
      <w:tr>
        <w:tc>
          <w:tcPr>
            <w:tcW w:type="dxa" w:w="1080"/>
          </w:tcPr>
          <w:p>
            <w:r>
              <w:rPr>
                <w:sz w:val="18"/>
              </w:rPr>
              <w:t>8</w:t>
            </w:r>
          </w:p>
        </w:tc>
        <w:tc>
          <w:tcPr>
            <w:tcW w:type="dxa" w:w="1080"/>
          </w:tcPr>
          <w:p>
            <w:r>
              <w:rPr>
                <w:sz w:val="18"/>
              </w:rPr>
              <w:t>238</w:t>
            </w:r>
          </w:p>
        </w:tc>
        <w:tc>
          <w:tcPr>
            <w:tcW w:type="dxa" w:w="1080"/>
          </w:tcPr>
          <w:p>
            <w:r>
              <w:rPr>
                <w:sz w:val="18"/>
              </w:rPr>
              <w:t>153</w:t>
            </w:r>
          </w:p>
        </w:tc>
        <w:tc>
          <w:tcPr>
            <w:tcW w:type="dxa" w:w="1080"/>
          </w:tcPr>
          <w:p>
            <w:r>
              <w:rPr>
                <w:sz w:val="18"/>
              </w:rPr>
              <w:t>179</w:t>
            </w:r>
          </w:p>
        </w:tc>
        <w:tc>
          <w:tcPr>
            <w:tcW w:type="dxa" w:w="1080"/>
          </w:tcPr>
          <w:p>
            <w:r>
              <w:rPr>
                <w:sz w:val="18"/>
              </w:rPr>
              <w:t>165–185</w:t>
            </w:r>
          </w:p>
        </w:tc>
        <w:tc>
          <w:tcPr>
            <w:tcW w:type="dxa" w:w="1080"/>
          </w:tcPr>
          <w:p>
            <w:r>
              <w:rPr>
                <w:sz w:val="18"/>
              </w:rPr>
              <w:t>—</w:t>
            </w:r>
          </w:p>
        </w:tc>
        <w:tc>
          <w:tcPr>
            <w:tcW w:type="dxa" w:w="1080"/>
          </w:tcPr>
          <w:p>
            <w:r>
              <w:rPr>
                <w:sz w:val="18"/>
              </w:rPr>
              <w:t>13–19</w:t>
            </w:r>
          </w:p>
        </w:tc>
        <w:tc>
          <w:tcPr>
            <w:tcW w:type="dxa" w:w="1080"/>
          </w:tcPr>
          <w:p>
            <w:r>
              <w:rPr>
                <w:sz w:val="18"/>
              </w:rPr>
              <w:t>piso recorrente cobre o mínimo sozinho</w:t>
            </w:r>
          </w:p>
        </w:tc>
      </w:tr>
      <w:tr>
        <w:tc>
          <w:tcPr>
            <w:tcW w:type="dxa" w:w="1080"/>
          </w:tcPr>
          <w:p>
            <w:r>
              <w:rPr>
                <w:sz w:val="18"/>
              </w:rPr>
              <w:t>9</w:t>
            </w:r>
          </w:p>
        </w:tc>
        <w:tc>
          <w:tcPr>
            <w:tcW w:type="dxa" w:w="1080"/>
          </w:tcPr>
          <w:p>
            <w:r>
              <w:rPr>
                <w:sz w:val="18"/>
              </w:rPr>
              <w:t>238</w:t>
            </w:r>
          </w:p>
        </w:tc>
        <w:tc>
          <w:tcPr>
            <w:tcW w:type="dxa" w:w="1080"/>
          </w:tcPr>
          <w:p>
            <w:r>
              <w:rPr>
                <w:sz w:val="18"/>
              </w:rPr>
              <w:t>148</w:t>
            </w:r>
          </w:p>
        </w:tc>
        <w:tc>
          <w:tcPr>
            <w:tcW w:type="dxa" w:w="1080"/>
          </w:tcPr>
          <w:p>
            <w:r>
              <w:rPr>
                <w:sz w:val="18"/>
              </w:rPr>
              <w:t>173</w:t>
            </w:r>
          </w:p>
        </w:tc>
        <w:tc>
          <w:tcPr>
            <w:tcW w:type="dxa" w:w="1080"/>
          </w:tcPr>
          <w:p>
            <w:r>
              <w:rPr>
                <w:sz w:val="18"/>
              </w:rPr>
              <w:t>165–185</w:t>
            </w:r>
          </w:p>
        </w:tc>
        <w:tc>
          <w:tcPr>
            <w:tcW w:type="dxa" w:w="1080"/>
          </w:tcPr>
          <w:p>
            <w:r>
              <w:rPr>
                <w:sz w:val="18"/>
              </w:rPr>
              <w:t>—</w:t>
            </w:r>
          </w:p>
        </w:tc>
        <w:tc>
          <w:tcPr>
            <w:tcW w:type="dxa" w:w="1080"/>
          </w:tcPr>
          <w:p>
            <w:r>
              <w:rPr>
                <w:sz w:val="18"/>
              </w:rPr>
              <w:t>13–19</w:t>
            </w:r>
          </w:p>
        </w:tc>
        <w:tc>
          <w:tcPr>
            <w:tcW w:type="dxa" w:w="1080"/>
          </w:tcPr>
          <w:p>
            <w:r>
              <w:rPr>
                <w:sz w:val="18"/>
              </w:rPr>
              <w:t>piso recorrente cobre o mínimo sozinho</w:t>
            </w:r>
          </w:p>
        </w:tc>
      </w:tr>
      <w:tr>
        <w:tc>
          <w:tcPr>
            <w:tcW w:type="dxa" w:w="1080"/>
          </w:tcPr>
          <w:p>
            <w:r>
              <w:rPr>
                <w:sz w:val="18"/>
              </w:rPr>
              <w:t>10</w:t>
            </w:r>
          </w:p>
        </w:tc>
        <w:tc>
          <w:tcPr>
            <w:tcW w:type="dxa" w:w="1080"/>
          </w:tcPr>
          <w:p>
            <w:r>
              <w:rPr>
                <w:sz w:val="18"/>
              </w:rPr>
              <w:t>238</w:t>
            </w:r>
          </w:p>
        </w:tc>
        <w:tc>
          <w:tcPr>
            <w:tcW w:type="dxa" w:w="1080"/>
          </w:tcPr>
          <w:p>
            <w:r>
              <w:rPr>
                <w:sz w:val="18"/>
              </w:rPr>
              <w:t>143</w:t>
            </w:r>
          </w:p>
        </w:tc>
        <w:tc>
          <w:tcPr>
            <w:tcW w:type="dxa" w:w="1080"/>
          </w:tcPr>
          <w:p>
            <w:r>
              <w:rPr>
                <w:sz w:val="18"/>
              </w:rPr>
              <w:t>166</w:t>
            </w:r>
          </w:p>
        </w:tc>
        <w:tc>
          <w:tcPr>
            <w:tcW w:type="dxa" w:w="1080"/>
          </w:tcPr>
          <w:p>
            <w:r>
              <w:rPr>
                <w:sz w:val="18"/>
              </w:rPr>
              <w:t>165–185</w:t>
            </w:r>
          </w:p>
        </w:tc>
        <w:tc>
          <w:tcPr>
            <w:tcW w:type="dxa" w:w="1080"/>
          </w:tcPr>
          <w:p>
            <w:r>
              <w:rPr>
                <w:sz w:val="18"/>
              </w:rPr>
              <w:t>—</w:t>
            </w:r>
          </w:p>
        </w:tc>
        <w:tc>
          <w:tcPr>
            <w:tcW w:type="dxa" w:w="1080"/>
          </w:tcPr>
          <w:p>
            <w:r>
              <w:rPr>
                <w:sz w:val="18"/>
              </w:rPr>
              <w:t>13–19</w:t>
            </w:r>
          </w:p>
        </w:tc>
        <w:tc>
          <w:tcPr>
            <w:tcW w:type="dxa" w:w="1080"/>
          </w:tcPr>
          <w:p>
            <w:r>
              <w:rPr>
                <w:sz w:val="18"/>
              </w:rPr>
              <w:t>piso recorrente cobre o mínimo sozinho</w:t>
            </w:r>
          </w:p>
        </w:tc>
      </w:tr>
      <w:tr>
        <w:tc>
          <w:tcPr>
            <w:tcW w:type="dxa" w:w="1080"/>
          </w:tcPr>
          <w:p>
            <w:r>
              <w:rPr>
                <w:sz w:val="18"/>
              </w:rPr>
              <w:t>11</w:t>
            </w:r>
          </w:p>
        </w:tc>
        <w:tc>
          <w:tcPr>
            <w:tcW w:type="dxa" w:w="1080"/>
          </w:tcPr>
          <w:p>
            <w:r>
              <w:rPr>
                <w:sz w:val="18"/>
              </w:rPr>
              <w:t>238</w:t>
            </w:r>
          </w:p>
        </w:tc>
        <w:tc>
          <w:tcPr>
            <w:tcW w:type="dxa" w:w="1080"/>
          </w:tcPr>
          <w:p>
            <w:r>
              <w:rPr>
                <w:sz w:val="18"/>
              </w:rPr>
              <w:t>138</w:t>
            </w:r>
          </w:p>
        </w:tc>
        <w:tc>
          <w:tcPr>
            <w:tcW w:type="dxa" w:w="1080"/>
          </w:tcPr>
          <w:p>
            <w:r>
              <w:rPr>
                <w:sz w:val="18"/>
              </w:rPr>
              <w:t>159</w:t>
            </w:r>
          </w:p>
        </w:tc>
        <w:tc>
          <w:tcPr>
            <w:tcW w:type="dxa" w:w="1080"/>
          </w:tcPr>
          <w:p>
            <w:r>
              <w:rPr>
                <w:sz w:val="18"/>
              </w:rPr>
              <w:t>165–185</w:t>
            </w:r>
          </w:p>
        </w:tc>
        <w:tc>
          <w:tcPr>
            <w:tcW w:type="dxa" w:w="1080"/>
          </w:tcPr>
          <w:p>
            <w:r>
              <w:rPr>
                <w:sz w:val="18"/>
              </w:rPr>
              <w:t>—</w:t>
            </w:r>
          </w:p>
        </w:tc>
        <w:tc>
          <w:tcPr>
            <w:tcW w:type="dxa" w:w="1080"/>
          </w:tcPr>
          <w:p>
            <w:r>
              <w:rPr>
                <w:sz w:val="18"/>
              </w:rPr>
              <w:t>—</w:t>
            </w:r>
          </w:p>
        </w:tc>
        <w:tc>
          <w:tcPr>
            <w:tcW w:type="dxa" w:w="1080"/>
          </w:tcPr>
          <w:p>
            <w:r>
              <w:rPr>
                <w:sz w:val="18"/>
              </w:rPr>
              <w:t>piso recorrente cobre até o recomendado</w:t>
            </w:r>
          </w:p>
        </w:tc>
      </w:tr>
      <w:tr>
        <w:tc>
          <w:tcPr>
            <w:tcW w:type="dxa" w:w="1080"/>
          </w:tcPr>
          <w:p>
            <w:r>
              <w:rPr>
                <w:sz w:val="18"/>
              </w:rPr>
              <w:t>12</w:t>
            </w:r>
          </w:p>
        </w:tc>
        <w:tc>
          <w:tcPr>
            <w:tcW w:type="dxa" w:w="1080"/>
          </w:tcPr>
          <w:p>
            <w:r>
              <w:rPr>
                <w:sz w:val="18"/>
              </w:rPr>
              <w:t>238</w:t>
            </w:r>
          </w:p>
        </w:tc>
        <w:tc>
          <w:tcPr>
            <w:tcW w:type="dxa" w:w="1080"/>
          </w:tcPr>
          <w:p>
            <w:r>
              <w:rPr>
                <w:sz w:val="18"/>
              </w:rPr>
              <w:t>133</w:t>
            </w:r>
          </w:p>
        </w:tc>
        <w:tc>
          <w:tcPr>
            <w:tcW w:type="dxa" w:w="1080"/>
          </w:tcPr>
          <w:p>
            <w:r>
              <w:rPr>
                <w:sz w:val="18"/>
              </w:rPr>
              <w:t>152</w:t>
            </w:r>
          </w:p>
        </w:tc>
        <w:tc>
          <w:tcPr>
            <w:tcW w:type="dxa" w:w="1080"/>
          </w:tcPr>
          <w:p>
            <w:r>
              <w:rPr>
                <w:sz w:val="18"/>
              </w:rPr>
              <w:t>165–185</w:t>
            </w:r>
          </w:p>
        </w:tc>
        <w:tc>
          <w:tcPr>
            <w:tcW w:type="dxa" w:w="1080"/>
          </w:tcPr>
          <w:p>
            <w:r>
              <w:rPr>
                <w:sz w:val="18"/>
              </w:rPr>
              <w:t>—</w:t>
            </w:r>
          </w:p>
        </w:tc>
        <w:tc>
          <w:tcPr>
            <w:tcW w:type="dxa" w:w="1080"/>
          </w:tcPr>
          <w:p>
            <w:r>
              <w:rPr>
                <w:sz w:val="18"/>
              </w:rPr>
              <w:t>—</w:t>
            </w:r>
          </w:p>
        </w:tc>
        <w:tc>
          <w:tcPr>
            <w:tcW w:type="dxa" w:w="1080"/>
          </w:tcPr>
          <w:p>
            <w:r>
              <w:rPr>
                <w:sz w:val="18"/>
              </w:rPr>
              <w:t>piso recorrente cobre até o recomendado</w:t>
            </w:r>
          </w:p>
        </w:tc>
      </w:tr>
      <w:tr>
        <w:tc>
          <w:tcPr>
            <w:tcW w:type="dxa" w:w="1080"/>
          </w:tcPr>
          <w:p>
            <w:r>
              <w:rPr>
                <w:sz w:val="18"/>
              </w:rPr>
              <w:t>13</w:t>
            </w:r>
          </w:p>
        </w:tc>
        <w:tc>
          <w:tcPr>
            <w:tcW w:type="dxa" w:w="1080"/>
          </w:tcPr>
          <w:p>
            <w:r>
              <w:rPr>
                <w:sz w:val="18"/>
              </w:rPr>
              <w:t>238</w:t>
            </w:r>
          </w:p>
        </w:tc>
        <w:tc>
          <w:tcPr>
            <w:tcW w:type="dxa" w:w="1080"/>
          </w:tcPr>
          <w:p>
            <w:r>
              <w:rPr>
                <w:sz w:val="18"/>
              </w:rPr>
              <w:t>127</w:t>
            </w:r>
          </w:p>
        </w:tc>
        <w:tc>
          <w:tcPr>
            <w:tcW w:type="dxa" w:w="1080"/>
          </w:tcPr>
          <w:p>
            <w:r>
              <w:rPr>
                <w:sz w:val="18"/>
              </w:rPr>
              <w:t>146</w:t>
            </w:r>
          </w:p>
        </w:tc>
        <w:tc>
          <w:tcPr>
            <w:tcW w:type="dxa" w:w="1080"/>
          </w:tcPr>
          <w:p>
            <w:r>
              <w:rPr>
                <w:sz w:val="18"/>
              </w:rPr>
              <w:t>165–185</w:t>
            </w:r>
          </w:p>
        </w:tc>
        <w:tc>
          <w:tcPr>
            <w:tcW w:type="dxa" w:w="1080"/>
          </w:tcPr>
          <w:p>
            <w:r>
              <w:rPr>
                <w:sz w:val="18"/>
              </w:rPr>
              <w:t>—</w:t>
            </w:r>
          </w:p>
        </w:tc>
        <w:tc>
          <w:tcPr>
            <w:tcW w:type="dxa" w:w="1080"/>
          </w:tcPr>
          <w:p>
            <w:r>
              <w:rPr>
                <w:sz w:val="18"/>
              </w:rPr>
              <w:t>—</w:t>
            </w:r>
          </w:p>
        </w:tc>
        <w:tc>
          <w:tcPr>
            <w:tcW w:type="dxa" w:w="1080"/>
          </w:tcPr>
          <w:p>
            <w:r>
              <w:rPr>
                <w:sz w:val="18"/>
              </w:rPr>
              <w:t>piso recorrente cobre até o recomendado</w:t>
            </w:r>
          </w:p>
        </w:tc>
      </w:tr>
      <w:tr>
        <w:tc>
          <w:tcPr>
            <w:tcW w:type="dxa" w:w="1080"/>
          </w:tcPr>
          <w:p>
            <w:r>
              <w:rPr>
                <w:sz w:val="18"/>
              </w:rPr>
              <w:t>14</w:t>
            </w:r>
          </w:p>
        </w:tc>
        <w:tc>
          <w:tcPr>
            <w:tcW w:type="dxa" w:w="1080"/>
          </w:tcPr>
          <w:p>
            <w:r>
              <w:rPr>
                <w:sz w:val="18"/>
              </w:rPr>
              <w:t>238</w:t>
            </w:r>
          </w:p>
        </w:tc>
        <w:tc>
          <w:tcPr>
            <w:tcW w:type="dxa" w:w="1080"/>
          </w:tcPr>
          <w:p>
            <w:r>
              <w:rPr>
                <w:sz w:val="18"/>
              </w:rPr>
              <w:t>122</w:t>
            </w:r>
          </w:p>
        </w:tc>
        <w:tc>
          <w:tcPr>
            <w:tcW w:type="dxa" w:w="1080"/>
          </w:tcPr>
          <w:p>
            <w:r>
              <w:rPr>
                <w:sz w:val="18"/>
              </w:rPr>
              <w:t>139</w:t>
            </w:r>
          </w:p>
        </w:tc>
        <w:tc>
          <w:tcPr>
            <w:tcW w:type="dxa" w:w="1080"/>
          </w:tcPr>
          <w:p>
            <w:r>
              <w:rPr>
                <w:sz w:val="18"/>
              </w:rPr>
              <w:t>165–185</w:t>
            </w:r>
          </w:p>
        </w:tc>
        <w:tc>
          <w:tcPr>
            <w:tcW w:type="dxa" w:w="1080"/>
          </w:tcPr>
          <w:p>
            <w:r>
              <w:rPr>
                <w:sz w:val="18"/>
              </w:rPr>
              <w:t>—</w:t>
            </w:r>
          </w:p>
        </w:tc>
        <w:tc>
          <w:tcPr>
            <w:tcW w:type="dxa" w:w="1080"/>
          </w:tcPr>
          <w:p>
            <w:r>
              <w:rPr>
                <w:sz w:val="18"/>
              </w:rPr>
              <w:t>—</w:t>
            </w:r>
          </w:p>
        </w:tc>
        <w:tc>
          <w:tcPr>
            <w:tcW w:type="dxa" w:w="1080"/>
          </w:tcPr>
          <w:p>
            <w:r>
              <w:rPr>
                <w:sz w:val="18"/>
              </w:rPr>
              <w:t>piso recorrente cobre até o recomendado</w:t>
            </w:r>
          </w:p>
        </w:tc>
      </w:tr>
    </w:tbl>
    <w:p>
      <w:pPr>
        <w:spacing w:after="120"/>
      </w:pPr>
      <w:r>
        <w:rPr>
          <w:b w:val="0"/>
          <w:i/>
          <w:color w:val="595959"/>
          <w:sz w:val="18"/>
        </w:rPr>
        <w:t>*A cauda contratual da Bacia 1 (1.620 dias a partir da ordem de serviço) e a Bacia 3, ainda por licitar, avançam pelos anos 5–6 — o degrau de saída da janela é suavizado por contrato, não por hipótese. “Guriri estrutural” = produtos de britagem do remanescente (78–117 mil t, frase 6) distribuída pelos anos 5–10 (13–19 mil t/ano). Não somam ao mesmo tempo: são camadas distintas no tempo. Todas as colunas em mil t/ano.</w:t>
      </w:r>
    </w:p>
    <w:p>
      <w:pPr>
        <w:spacing w:after="120" w:before="160"/>
      </w:pPr>
      <w:r>
        <w:rPr>
          <w:b/>
          <w:i w:val="0"/>
          <w:sz w:val="22"/>
        </w:rPr>
        <w:t>As quatro conclusões numéricas</w:t>
      </w:r>
    </w:p>
    <w:p>
      <w:pPr>
        <w:spacing w:after="120"/>
      </w:pPr>
      <w:r>
        <w:rPr>
          <w:b w:val="0"/>
          <w:i w:val="0"/>
        </w:rPr>
        <w:t>(i) Sobrevivência não exige o platô: a produção que quita a dívida com DSCR 1,0 é de 174 mil t no pior ano, decrescendo até 122 mil t — o platô de 237,5 mil t carrega folga de DSCR 1,53. (ii) A captura recorrente (165–185 mil t/ano) cobre o mínimo pelo piso a partir do ano 6; nos anos 3–5, o déficit do piso é de apenas 3.7 a 8.9 mil t/ano — menos de 6% — contra 70–100 mil t/ano de obras contratadas correndo nesses mesmos anos. (iii) A janela de obras coincide com carência, ramp-up e pico do serviço: os anos que mais exigem são os anos com mais lastro. (iv) Contra o RECOMENDADO (DSCR 1,3), o gap do piso encolhe de 44 mil t/ano (ano 3) a 0,6 mil (ano 10; 583 t exatas) e zera no ano 11; quem o cobre, nomeadamente: as obras (anos 3–5), o Guriri estrutural (13–19 mil t/ano, anos 5–10), o crescimento vegetativo do setor (~5% a.a. ANEPAC ⇒ +13–15 mil t/ano sobre a captura, cumulativo) e os loteamentos privados contínuos — sem contar Fundo Cidades, Sítio Histórico, Mercado Municipal e o programa da concessão da BR-101, contratado até 2048.</w:t>
      </w:r>
    </w:p>
    <w:p>
      <w:pPr>
        <w:spacing w:after="120" w:before="160"/>
      </w:pPr>
      <w:r>
        <w:rPr>
          <w:b/>
          <w:i w:val="0"/>
          <w:sz w:val="22"/>
        </w:rPr>
        <w:t>Por que São Mateus é diferente — a demanda reprimida de Guriri</w:t>
      </w:r>
    </w:p>
    <w:p>
      <w:pPr>
        <w:spacing w:after="120"/>
      </w:pPr>
      <w:r>
        <w:rPr>
          <w:b w:val="0"/>
          <w:i w:val="0"/>
        </w:rPr>
        <w:t>O argumento de fundo não é “há obras” — é que Guriri representa DEMANDA REPRIMIDA de pavimentação, agora destravada. O balneário cresceu por décadas sobre ruas de areia porque alagava: sem drenagem, calçamento não para em pé, e a Prefeitura não pavimenta o que a chuva desmancha. A macrodrenagem (&gt;R$ 600 mi nas três bacias) remove exatamente esse bloqueio — e pavimenta-se DEPOIS de drenar, bacia a bacia: Bacia 2 conclui em 2028, Bacia 1 corre por 1.620 dias, Bacia 3 ainda será licitada. A sequência construtiva, portanto, espalha a pavimentação de ~144 logradouros por cerca de UMA DÉCADA — não é um pico de 4 anos que desaparece: é um estoque de vias a pavimentar, com financiamento público já contratado em dois terços, sendo liberado em fases ao longo do prazo do financiamento da CIPREM.</w:t>
      </w:r>
    </w:p>
    <w:p>
      <w:pPr>
        <w:spacing w:after="120" w:before="200"/>
      </w:pPr>
      <w:r>
        <w:rPr>
          <w:b/>
          <w:i w:val="0"/>
          <w:sz w:val="26"/>
        </w:rPr>
        <w:t>3. Inventário viário de Guriri — o que está medido e o que falta</w:t>
      </w:r>
    </w:p>
    <w:p>
      <w:pPr>
        <w:spacing w:after="120"/>
      </w:pPr>
      <w:r>
        <w:rPr>
          <w:b w:val="0"/>
          <w:i w:val="0"/>
        </w:rPr>
        <w:t>Contagem oficial: os bairros Guriri Norte (CEP 29946-010 a -970) e Guriri Sul (CEP 29945-010 a -690) somam ~144 logradouros (69–70 + 74) nos diretórios oficiais de CEP, com nomes que alcançam a Rua Quarenta e Oito e a Avenida Décima Segunda. A malha em m², porém, é hoje uma estimativa por grade (frase 4). Para convertê-la em inventário MEDIDO, acompanha esta memória a planilha Levantamento_Guriri.xlsx, com um protocolo de 17 medições no Google Maps que gera a malha inteira, rua a rua: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Passo</w:t>
            </w:r>
          </w:p>
        </w:tc>
        <w:tc>
          <w:tcPr>
            <w:tcW w:type="dxa" w:w="2880"/>
          </w:tcPr>
          <w:p>
            <w:r>
              <w:rPr>
                <w:b/>
                <w:sz w:val="18"/>
              </w:rPr>
              <w:t>O que medir</w:t>
            </w:r>
          </w:p>
        </w:tc>
        <w:tc>
          <w:tcPr>
            <w:tcW w:type="dxa" w:w="2880"/>
          </w:tcPr>
          <w:p>
            <w:r>
              <w:rPr>
                <w:b/>
                <w:sz w:val="18"/>
              </w:rPr>
              <w:t>Células</w:t>
            </w:r>
          </w:p>
        </w:tc>
      </w:tr>
      <w:tr>
        <w:tc>
          <w:tcPr>
            <w:tcW w:type="dxa" w:w="2880"/>
          </w:tcPr>
          <w:p>
            <w:r>
              <w:rPr>
                <w:sz w:val="18"/>
              </w:rPr>
              <w:t>1</w:t>
            </w:r>
          </w:p>
        </w:tc>
        <w:tc>
          <w:tcPr>
            <w:tcW w:type="dxa" w:w="2880"/>
          </w:tcPr>
          <w:p>
            <w:r>
              <w:rPr>
                <w:sz w:val="18"/>
              </w:rPr>
              <w:t>Extensão norte–sul da malha urbanizada (1 medição)</w:t>
            </w:r>
          </w:p>
        </w:tc>
        <w:tc>
          <w:tcPr>
            <w:tcW w:type="dxa" w:w="2880"/>
          </w:tcPr>
          <w:p>
            <w:r>
              <w:rPr>
                <w:sz w:val="18"/>
              </w:rPr>
              <w:t>B5</w:t>
            </w:r>
          </w:p>
        </w:tc>
      </w:tr>
      <w:tr>
        <w:tc>
          <w:tcPr>
            <w:tcW w:type="dxa" w:w="2880"/>
          </w:tcPr>
          <w:p>
            <w:r>
              <w:rPr>
                <w:sz w:val="18"/>
              </w:rPr>
              <w:t>2</w:t>
            </w:r>
          </w:p>
        </w:tc>
        <w:tc>
          <w:tcPr>
            <w:tcW w:type="dxa" w:w="2880"/>
          </w:tcPr>
          <w:p>
            <w:r>
              <w:rPr>
                <w:sz w:val="18"/>
              </w:rPr>
              <w:t>Largura leste–oeste em 5 estações (5 medições)</w:t>
            </w:r>
          </w:p>
        </w:tc>
        <w:tc>
          <w:tcPr>
            <w:tcW w:type="dxa" w:w="2880"/>
          </w:tcPr>
          <w:p>
            <w:r>
              <w:rPr>
                <w:sz w:val="18"/>
              </w:rPr>
              <w:t>B8:B12</w:t>
            </w:r>
          </w:p>
        </w:tc>
      </w:tr>
      <w:tr>
        <w:tc>
          <w:tcPr>
            <w:tcW w:type="dxa" w:w="2880"/>
          </w:tcPr>
          <w:p>
            <w:r>
              <w:rPr>
                <w:sz w:val="18"/>
              </w:rPr>
              <w:t>3</w:t>
            </w:r>
          </w:p>
        </w:tc>
        <w:tc>
          <w:tcPr>
            <w:tcW w:type="dxa" w:w="2880"/>
          </w:tcPr>
          <w:p>
            <w:r>
              <w:rPr>
                <w:sz w:val="18"/>
              </w:rPr>
              <w:t>Nº de avenidas em cada estação (5 contagens)</w:t>
            </w:r>
          </w:p>
        </w:tc>
        <w:tc>
          <w:tcPr>
            <w:tcW w:type="dxa" w:w="2880"/>
          </w:tcPr>
          <w:p>
            <w:r>
              <w:rPr>
                <w:sz w:val="18"/>
              </w:rPr>
              <w:t>C8:C12</w:t>
            </w:r>
          </w:p>
        </w:tc>
      </w:tr>
      <w:tr>
        <w:tc>
          <w:tcPr>
            <w:tcW w:type="dxa" w:w="2880"/>
          </w:tcPr>
          <w:p>
            <w:r>
              <w:rPr>
                <w:sz w:val="18"/>
              </w:rPr>
              <w:t>4</w:t>
            </w:r>
          </w:p>
        </w:tc>
        <w:tc>
          <w:tcPr>
            <w:tcW w:type="dxa" w:w="2880"/>
          </w:tcPr>
          <w:p>
            <w:r>
              <w:rPr>
                <w:sz w:val="18"/>
              </w:rPr>
              <w:t>Última rua numerada ao norte e ao sul (2 leituras)</w:t>
            </w:r>
          </w:p>
        </w:tc>
        <w:tc>
          <w:tcPr>
            <w:tcW w:type="dxa" w:w="2880"/>
          </w:tcPr>
          <w:p>
            <w:r>
              <w:rPr>
                <w:sz w:val="18"/>
              </w:rPr>
              <w:t>B15:B16</w:t>
            </w:r>
          </w:p>
        </w:tc>
      </w:tr>
      <w:tr>
        <w:tc>
          <w:tcPr>
            <w:tcW w:type="dxa" w:w="2880"/>
          </w:tcPr>
          <w:p>
            <w:r>
              <w:rPr>
                <w:sz w:val="18"/>
              </w:rPr>
              <w:t>5</w:t>
            </w:r>
          </w:p>
        </w:tc>
        <w:tc>
          <w:tcPr>
            <w:tcW w:type="dxa" w:w="2880"/>
          </w:tcPr>
          <w:p>
            <w:r>
              <w:rPr>
                <w:sz w:val="18"/>
              </w:rPr>
              <w:t>Caixa típica de 2 avenidas e 2 ruas (4 medições)</w:t>
            </w:r>
          </w:p>
        </w:tc>
        <w:tc>
          <w:tcPr>
            <w:tcW w:type="dxa" w:w="2880"/>
          </w:tcPr>
          <w:p>
            <w:r>
              <w:rPr>
                <w:sz w:val="18"/>
              </w:rPr>
              <w:t>B19:B22</w:t>
            </w:r>
          </w:p>
        </w:tc>
      </w:tr>
      <w:tr>
        <w:tc>
          <w:tcPr>
            <w:tcW w:type="dxa" w:w="2880"/>
          </w:tcPr>
          <w:p>
            <w:r>
              <w:rPr>
                <w:sz w:val="18"/>
              </w:rPr>
              <w:t>6</w:t>
            </w:r>
          </w:p>
        </w:tc>
        <w:tc>
          <w:tcPr>
            <w:tcW w:type="dxa" w:w="2880"/>
          </w:tcPr>
          <w:p>
            <w:r>
              <w:rPr>
                <w:sz w:val="18"/>
              </w:rPr>
              <w:t>% pavimentado por zona, no satélite (inspeção)</w:t>
            </w:r>
          </w:p>
        </w:tc>
        <w:tc>
          <w:tcPr>
            <w:tcW w:type="dxa" w:w="2880"/>
          </w:tcPr>
          <w:p>
            <w:r>
              <w:rPr>
                <w:sz w:val="18"/>
              </w:rPr>
              <w:t>D8:E12</w:t>
            </w:r>
          </w:p>
        </w:tc>
      </w:tr>
    </w:tbl>
    <w:p>
      <w:pPr>
        <w:spacing w:after="120"/>
      </w:pPr>
      <w:r>
        <w:rPr>
          <w:b w:val="0"/>
          <w:i w:val="0"/>
        </w:rPr>
        <w:t>A planilha interpola o comprimento de cada rua pela largura da ilha na sua posição, soma avenidas por zona, converte em m² e toneladas, e confere os totais contra três âncoras independentes: o contrato da Bacia 1 (125.000 m² ÷ 13,5 km = 9,26 m), a contagem oficial de logradouros (~144) e a banda do Estudo (40–48 km / 350–400 mil m²). Preenchida, ela SUBSTITUI a estimativa: o número medido prevalece e o pacote é ajustado a ele.</w:t>
      </w:r>
    </w:p>
    <w:p>
      <w:pPr>
        <w:spacing w:after="120"/>
      </w:pPr>
      <w:r>
        <w:rPr>
          <w:b w:val="0"/>
          <w:i/>
          <w:color w:val="595959"/>
          <w:sz w:val="18"/>
        </w:rPr>
        <w:t>Aviso de qualidade da coleta (18/08/2026): nesta rodada, o acesso direto aos sites — inclusive os oficiais (der.es.gov.br, es.gov.br, saomateus.es.gov.br) — estava bloqueado no ambiente de pesquisa, e 100% das evidências do Anexo A vieram de trechos retornados pelo mecanismo de busca (marcados [PT] quando literais e [EN-sint] quando síntese do buscador). As citações devem ser revalidadas contra as páginas originais antes do protocolo. Duas correções que a própria coleta impôs ao pacote: a contagem de logradouros passou de ~146 para ~144 (69–70 + 74), e o loteamento “Portal do Ribeirão”, citado em versão anterior do Estudo, NÃO foi confirmado em São Mateus (só homônimo em Florianópolis) — substituído pelos empreendimentos verificados: Soma Vibe (Soma Urbanismo, entrega prevista 2029), Mar Aberto (Guriri Sul), Verão Vermelho e Bosque [E35–E39].</w:t>
      </w:r>
    </w:p>
    <w:p>
      <w:pPr>
        <w:spacing w:after="120" w:before="200"/>
      </w:pPr>
      <w:r>
        <w:rPr>
          <w:b/>
          <w:i w:val="0"/>
          <w:sz w:val="26"/>
        </w:rPr>
        <w:t>4. Verificação independente — método e resultado</w:t>
      </w:r>
    </w:p>
    <w:p>
      <w:pPr>
        <w:spacing w:after="120"/>
      </w:pPr>
      <w:r>
        <w:rPr>
          <w:b w:val="0"/>
          <w:i w:val="0"/>
        </w:rPr>
        <w:t>Dois agentes separados participaram desta memória. Um agente PESQUISADOR coletou as 43 evidências do Anexo A sem participar das contas. Um agente AUDITOR, cego às contas do autor, recebeu somente: as âncoras documentais, os fatores setoriais, a tabela de serviço da dívida e a lista das 14 afirmações numéricas — sem nenhuma derivação. Ele refez cada conta em Python, conferiu as âncoras contra as evidências e devolveu veredicto por item.</w:t>
      </w:r>
    </w:p>
    <w:p>
      <w:pPr>
        <w:spacing w:after="120"/>
      </w:pPr>
      <w:r>
        <w:rPr>
          <w:b/>
          <w:i w:val="0"/>
        </w:rPr>
        <w:t>PLACAR: 7 CONFERE · 6 CONFERE COM RESSALVA · 0 DIVERGE · 1 NÃO DERIVÁVEL (parcial). Nenhuma divergência aritmética foi encontrada — nas palavras do relatório, “as contas do estudo reproduzem-se com exatidão”. E a checagem de dupla contagem física entre camadas foi POSITIVA: pavimentação da Bacia 1 (125 mil m²) + Bacia 2 (~106–125 mil) + remanescente (125–150 mil) somam coerentemente a malha completa (350–400 mil m²), sem contar galeria ou pavimento duas vezes.</w:t>
      </w:r>
    </w:p>
    <w:p>
      <w:pPr>
        <w:spacing w:after="120" w:before="160"/>
      </w:pPr>
      <w:r>
        <w:rPr>
          <w:b/>
          <w:i w:val="0"/>
          <w:sz w:val="22"/>
        </w:rPr>
        <w:t>As ressalvas do auditor e o tratamento dado a cada uma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Ressalva do auditor</w:t>
            </w:r>
          </w:p>
        </w:tc>
        <w:tc>
          <w:tcPr>
            <w:tcW w:type="dxa" w:w="2880"/>
          </w:tcPr>
          <w:p>
            <w:r>
              <w:rPr>
                <w:b/>
                <w:sz w:val="18"/>
              </w:rPr>
              <w:t>Tratamento nesta versão</w:t>
            </w:r>
          </w:p>
        </w:tc>
      </w:tr>
      <w:tr>
        <w:tc>
          <w:tcPr>
            <w:tcW w:type="dxa" w:w="2880"/>
          </w:tcPr>
          <w:p>
            <w:r>
              <w:rPr>
                <w:sz w:val="18"/>
              </w:rPr>
              <w:t>2, 6</w:t>
            </w:r>
          </w:p>
        </w:tc>
        <w:tc>
          <w:tcPr>
            <w:tcW w:type="dxa" w:w="2880"/>
          </w:tcPr>
          <w:p>
            <w:r>
              <w:rPr>
                <w:sz w:val="18"/>
              </w:rPr>
              <w:t>Os pisos publicados (300 e 75 mil t) arredondam os exatos (294 e 73,5) para cima em ~2% — direção que favorece a tese.</w:t>
            </w:r>
          </w:p>
        </w:tc>
        <w:tc>
          <w:tcPr>
            <w:tcW w:type="dxa" w:w="2880"/>
          </w:tcPr>
          <w:p>
            <w:r>
              <w:rPr>
                <w:sz w:val="18"/>
              </w:rPr>
              <w:t>Acatado como divulgação: os valores exatos passam a constar ao lado dos publicados nas frases 2 e 6, com a direção do arredondamento declarada.</w:t>
            </w:r>
          </w:p>
        </w:tc>
      </w:tr>
      <w:tr>
        <w:tc>
          <w:tcPr>
            <w:tcW w:type="dxa" w:w="2880"/>
          </w:tcPr>
          <w:p>
            <w:r>
              <w:rPr>
                <w:sz w:val="18"/>
              </w:rPr>
              <w:t>7</w:t>
            </w:r>
          </w:p>
        </w:tc>
        <w:tc>
          <w:tcPr>
            <w:tcW w:type="dxa" w:w="2880"/>
          </w:tcPr>
          <w:p>
            <w:r>
              <w:rPr>
                <w:sz w:val="18"/>
              </w:rPr>
              <w:t>A banda de 31–43% do share incorporado usava razões cruzadas (cenários inconsistentes); pareando, 35,7–37,5% — acima de “um terço”.</w:t>
            </w:r>
          </w:p>
        </w:tc>
        <w:tc>
          <w:tcPr>
            <w:tcW w:type="dxa" w:w="2880"/>
          </w:tcPr>
          <w:p>
            <w:r>
              <w:rPr>
                <w:sz w:val="18"/>
              </w:rPr>
              <w:t>ACATADO INTEGRALMENTE: banda pareada adotada, e o rótulo mudou para “pouco mais de um terço” nesta memória e em todos os documentos do pacote.</w:t>
            </w:r>
          </w:p>
        </w:tc>
      </w:tr>
      <w:tr>
        <w:tc>
          <w:tcPr>
            <w:tcW w:type="dxa" w:w="2880"/>
          </w:tcPr>
          <w:p>
            <w:r>
              <w:rPr>
                <w:sz w:val="18"/>
              </w:rPr>
              <w:t>10</w:t>
            </w:r>
          </w:p>
        </w:tc>
        <w:tc>
          <w:tcPr>
            <w:tcW w:type="dxa" w:w="2880"/>
          </w:tcPr>
          <w:p>
            <w:r>
              <w:rPr>
                <w:sz w:val="18"/>
              </w:rPr>
              <w:t>O gap do ano 10 é 583 t (0,6 mil), publicado “1 mil”.</w:t>
            </w:r>
          </w:p>
        </w:tc>
        <w:tc>
          <w:tcPr>
            <w:tcW w:type="dxa" w:w="2880"/>
          </w:tcPr>
          <w:p>
            <w:r>
              <w:rPr>
                <w:sz w:val="18"/>
              </w:rPr>
              <w:t>Acatado: o texto passa a 0,6 mil, com o valor exato.</w:t>
            </w:r>
          </w:p>
        </w:tc>
      </w:tr>
      <w:tr>
        <w:tc>
          <w:tcPr>
            <w:tcW w:type="dxa" w:w="2880"/>
          </w:tcPr>
          <w:p>
            <w:r>
              <w:rPr>
                <w:sz w:val="18"/>
              </w:rPr>
              <w:t>12</w:t>
            </w:r>
          </w:p>
        </w:tc>
        <w:tc>
          <w:tcPr>
            <w:tcW w:type="dxa" w:w="2880"/>
          </w:tcPr>
          <w:p>
            <w:r>
              <w:rPr>
                <w:sz w:val="18"/>
              </w:rPr>
              <w:t>O DSCR de 1,53 no platô seria 1,538→1,54 por extrapolação linear da tabela.</w:t>
            </w:r>
          </w:p>
        </w:tc>
        <w:tc>
          <w:tcPr>
            <w:tcW w:type="dxa" w:w="2880"/>
          </w:tcPr>
          <w:p>
            <w:r>
              <w:rPr>
                <w:sz w:val="18"/>
              </w:rPr>
              <w:t>Esclarecido: 1,53 não vem de extrapolação — é o DSCR mínimo calculado pelo próprio modelo financeiro (1,534, aba Sensibilidade). A extrapolação do auditor confirma o valor com desvio de 0,3%.</w:t>
            </w:r>
          </w:p>
        </w:tc>
      </w:tr>
      <w:tr>
        <w:tc>
          <w:tcPr>
            <w:tcW w:type="dxa" w:w="2880"/>
          </w:tcPr>
          <w:p>
            <w:r>
              <w:rPr>
                <w:sz w:val="18"/>
              </w:rPr>
              <w:t>13</w:t>
            </w:r>
          </w:p>
        </w:tc>
        <w:tc>
          <w:tcPr>
            <w:tcW w:type="dxa" w:w="2880"/>
          </w:tcPr>
          <w:p>
            <w:r>
              <w:rPr>
                <w:sz w:val="18"/>
              </w:rPr>
              <w:t>A faixa técnica de 0,73–1,05 t/m² não era re-derivável do material cego; e o cross-check a 1,0 t/m² fica 29% abaixo do fator ANEPAC sem reconciliação.</w:t>
            </w:r>
          </w:p>
        </w:tc>
        <w:tc>
          <w:tcPr>
            <w:tcW w:type="dxa" w:w="2880"/>
          </w:tcPr>
          <w:p>
            <w:r>
              <w:rPr>
                <w:sz w:val="18"/>
              </w:rPr>
              <w:t>Por desenho: as camadas estão no Anexo B, fora do material cego. A reconciliação consta do próprio Anexo B — o fator 1,4 inclui urbanização acessória, perdas e reforço de subleito; o build-up estrito é o piso técnico, e o cenário a 1,0 t/m² está declarado como teste de robustez (o potencial cai a 350–400 mil t de agregados e AINDA é o dobro do incorporado).</w:t>
            </w:r>
          </w:p>
        </w:tc>
      </w:tr>
      <w:tr>
        <w:tc>
          <w:tcPr>
            <w:tcW w:type="dxa" w:w="2880"/>
          </w:tcPr>
          <w:p>
            <w:r>
              <w:rPr>
                <w:sz w:val="18"/>
              </w:rPr>
              <w:t>14</w:t>
            </w:r>
          </w:p>
        </w:tc>
        <w:tc>
          <w:tcPr>
            <w:tcW w:type="dxa" w:w="2880"/>
          </w:tcPr>
          <w:p>
            <w:r>
              <w:rPr>
                <w:sz w:val="18"/>
              </w:rPr>
              <w:t>O preço de R$ 50–80/t da triangulação por valor não constava do material.</w:t>
            </w:r>
          </w:p>
        </w:tc>
        <w:tc>
          <w:tcPr>
            <w:tcW w:type="dxa" w:w="2880"/>
          </w:tcPr>
          <w:p>
            <w:r>
              <w:rPr>
                <w:sz w:val="18"/>
              </w:rPr>
              <w:t>Correto — é premissa declarada no Anexo B, usada só como teste de plausibilidade (participação dos agregados no valor do contrato), nunca como insumo do modelo.</w:t>
            </w:r>
          </w:p>
        </w:tc>
      </w:tr>
      <w:tr>
        <w:tc>
          <w:tcPr>
            <w:tcW w:type="dxa" w:w="2880"/>
          </w:tcPr>
          <w:p>
            <w:r>
              <w:rPr>
                <w:sz w:val="18"/>
              </w:rPr>
              <w:t>9, 11</w:t>
            </w:r>
          </w:p>
        </w:tc>
        <w:tc>
          <w:tcPr>
            <w:tcW w:type="dxa" w:w="2880"/>
          </w:tcPr>
          <w:p>
            <w:r>
              <w:rPr>
                <w:sz w:val="18"/>
              </w:rPr>
              <w:t>“A partir do ano 6” vale para o pós-rampa (anos 1–2 também cobertos, com folgas de 58 e 50 mil t); a janela “anos 5–10” do Guriri estrutural é premissa.</w:t>
            </w:r>
          </w:p>
        </w:tc>
        <w:tc>
          <w:tcPr>
            <w:tcW w:type="dxa" w:w="2880"/>
          </w:tcPr>
          <w:p>
            <w:r>
              <w:rPr>
                <w:sz w:val="18"/>
              </w:rPr>
              <w:t>Registrado: anos 1–2 cobertos com folga; a janela 5–10 é premissa de ritmo, declarada na frase 6 e no rodapé do exhibit.</w:t>
            </w:r>
          </w:p>
        </w:tc>
      </w:tr>
    </w:tbl>
    <w:p>
      <w:pPr>
        <w:spacing w:after="120" w:before="160"/>
      </w:pPr>
      <w:r>
        <w:rPr>
          <w:b/>
          <w:i w:val="0"/>
          <w:sz w:val="22"/>
        </w:rPr>
        <w:t>Segunda auditoria — a rodada dos coeficientes</w:t>
      </w:r>
    </w:p>
    <w:p>
      <w:pPr>
        <w:spacing w:after="120"/>
      </w:pPr>
      <w:r>
        <w:rPr>
          <w:b w:val="0"/>
          <w:i w:val="0"/>
          <w:sz w:val="19"/>
        </w:rPr>
        <w:t>Quando os coeficientes foram rebaseados nas composições oficiais, uma SEGUNDA auditoria cega re-derivou as 10 afirmações novas (banda por camada, cascata de Guriri, reconstrução obra a obra, participação da brita). PLACAR: 5 CONFERE · 4 CONFERE COM RESSALVA · 0 DIVERGE · 1 NÃO DERIVÁVEL. Tratamento de cada ressalva: (a) bandas exibidas ajustadas ao arredondamento exato — 0,73–0,93 t/m² (teto exato 0,9348) e 0,62–0,78 t/m² (piso exato 0,6249); os totais de Guriri não mudam, pois já eram calculados com os valores exatos; (b) declarado que a fração de brita dos concretos INCLUI a drenagem superficial, e que o rejunte foi tratado como areia (conservador); (c) a premissa de faseamento do Guriri estrutural (anos 5–10 = 6 anos) passou a ser explícita na frase 6 — era ela que faltava ao material cego (o item NÃO DERIVÁVEL); (d) a relação com a faixa publicada foi reescrita com precisão: teto coincidente, piso publicado ~3% mais conservador; (e) a geometria de galeria está no Anexo B, fora do material cego por desenho.</w:t>
      </w:r>
    </w:p>
    <w:p>
      <w:pPr>
        <w:spacing w:after="120" w:before="160"/>
      </w:pPr>
      <w:r>
        <w:rPr>
          <w:b/>
          <w:i w:val="0"/>
          <w:sz w:val="22"/>
        </w:rPr>
        <w:t>Os achados transversais e sua resolução</w:t>
      </w:r>
    </w:p>
    <w:p>
      <w:pPr>
        <w:spacing w:after="120"/>
      </w:pPr>
      <w:r>
        <w:rPr>
          <w:b w:val="0"/>
          <w:i w:val="0"/>
        </w:rPr>
        <w:t>(a) UNIDADE DA CAPTURA — o achado mais importante do auditor, RESOLVIDO POR FATO: com o material cego, ele alertou que, se a captura de 165–185 mil t/ano estivesse em agregados totais e a planta vendesse só brita, a captura-brita cairia a ~69 mil t/ano. A informação que faltava ao material: o índice de 1,669 t/hab/ano É um índice de brita — numerador = vendas de granito britado declaradas à ANM (RAL 2025), e a checagem ANEPAC (4,1 × 41,6% ≈ 1,7) é exatamente a fatia da brita no consumo de agregados. Captura, camadas, produção exigida e platô estão na mesma unidade (produtos de britagem), como o §2 agora declara expressamente. (b) SOBREPOSIÇÃO índice × camadas: o auditor observou, com razão, que o índice per capita embute um nível MÉDIO histórico de obras; por isso as conclusões (i) e (ii) do §2 usam SOMENTE a captura recorrente, sem nenhuma camada — como o próprio relatório reconhece (“as afirmações 9–10, isoladamente, usam só a captura — corretas”) — e as camadas cobrem apenas o gap residual, legitimadas pelo caráter extraordinário do ciclo (&gt;R$ 1 bi, sem precedente na série histórica municipal). (c) ES-318: “Contorno de São Mateus” e “Contorno de Guriri” são a mesma obra; os pares 24,26 km/R$ 164 mi e 24,6 km/R$ 190,2 mi são original × aditivos (impacto −0,4%, imaterial). (d) BACIA 2: o prazo contratual (43 meses) destoa da previsão pública (fim de 2028) — atraso reconhecido na frase 7; empurra demanda para mais tarde. (e) JANELA de 4 × ~6 anos: tratada na frase 3 — o total não muda e a janela longa cobre os anos do gap.</w:t>
      </w:r>
    </w:p>
    <w:p>
      <w:pPr>
        <w:spacing w:after="120" w:before="200"/>
      </w:pPr>
      <w:r>
        <w:rPr>
          <w:b/>
          <w:i w:val="0"/>
          <w:sz w:val="26"/>
        </w:rPr>
        <w:t>Anexo B — a banda composicional: camada por camada, com os códigos oficiais</w:t>
      </w:r>
    </w:p>
    <w:p>
      <w:pPr>
        <w:spacing w:after="120"/>
      </w:pPr>
      <w:r>
        <w:rPr>
          <w:b w:val="0"/>
          <w:i w:val="0"/>
        </w:rPr>
        <w:t>A via urbana completa em bloco intertravado sobre areia — o padrão de Guriri — foi decomposta nas composições analíticas oficiais da tabela DER-ES/LABOR-UFES (Abr/2026) e do SINAPI-ES (06/2026), por m² de pista (caixa de 9 m — âncora: contrato da Bacia 1, 125.000 m² ÷ 13,5 km = 9,26 m; calçadas de 2 × 2 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Camada</w:t>
            </w:r>
          </w:p>
        </w:tc>
        <w:tc>
          <w:tcPr>
            <w:tcW w:type="dxa" w:w="2160"/>
          </w:tcPr>
          <w:p>
            <w:r>
              <w:rPr>
                <w:b/>
                <w:sz w:val="18"/>
              </w:rPr>
              <w:t>Composição oficial</w:t>
            </w:r>
          </w:p>
        </w:tc>
        <w:tc>
          <w:tcPr>
            <w:tcW w:type="dxa" w:w="2160"/>
          </w:tcPr>
          <w:p>
            <w:r>
              <w:rPr>
                <w:b/>
                <w:sz w:val="18"/>
              </w:rPr>
              <w:t>Conta</w:t>
            </w:r>
          </w:p>
        </w:tc>
        <w:tc>
          <w:tcPr>
            <w:tcW w:type="dxa" w:w="2160"/>
          </w:tcPr>
          <w:p>
            <w:r>
              <w:rPr>
                <w:b/>
                <w:sz w:val="18"/>
              </w:rPr>
              <w:t>t/m² de agregados</w:t>
            </w:r>
          </w:p>
        </w:tc>
      </w:tr>
      <w:tr>
        <w:tc>
          <w:tcPr>
            <w:tcW w:type="dxa" w:w="2160"/>
          </w:tcPr>
          <w:p>
            <w:r>
              <w:rPr>
                <w:sz w:val="18"/>
              </w:rPr>
              <w:t>Colchão de assentamento — pó de pedra, 10 cm</w:t>
            </w:r>
          </w:p>
        </w:tc>
        <w:tc>
          <w:tcPr>
            <w:tcW w:type="dxa" w:w="2160"/>
          </w:tcPr>
          <w:p>
            <w:r>
              <w:rPr>
                <w:sz w:val="18"/>
              </w:rPr>
              <w:t>DER-ES 200206 (0,10 m³/m²)</w:t>
            </w:r>
          </w:p>
        </w:tc>
        <w:tc>
          <w:tcPr>
            <w:tcW w:type="dxa" w:w="2160"/>
          </w:tcPr>
          <w:p>
            <w:r>
              <w:rPr>
                <w:sz w:val="18"/>
              </w:rPr>
              <w:t>0,10 m³ × 1,55–1,65 t/m³</w:t>
            </w:r>
          </w:p>
        </w:tc>
        <w:tc>
          <w:tcPr>
            <w:tcW w:type="dxa" w:w="2160"/>
          </w:tcPr>
          <w:p>
            <w:r>
              <w:rPr>
                <w:sz w:val="18"/>
              </w:rPr>
              <w:t>0,155–0,165</w:t>
            </w:r>
          </w:p>
        </w:tc>
      </w:tr>
      <w:tr>
        <w:tc>
          <w:tcPr>
            <w:tcW w:type="dxa" w:w="2160"/>
          </w:tcPr>
          <w:p>
            <w:r>
              <w:rPr>
                <w:sz w:val="18"/>
              </w:rPr>
              <w:t>Rejunte</w:t>
            </w:r>
          </w:p>
        </w:tc>
        <w:tc>
          <w:tcPr>
            <w:tcW w:type="dxa" w:w="2160"/>
          </w:tcPr>
          <w:p>
            <w:r>
              <w:rPr>
                <w:sz w:val="18"/>
              </w:rPr>
              <w:t>DER-ES 200206 (0,0098 m³/m²)</w:t>
            </w:r>
          </w:p>
        </w:tc>
        <w:tc>
          <w:tcPr>
            <w:tcW w:type="dxa" w:w="2160"/>
          </w:tcPr>
          <w:p>
            <w:r>
              <w:rPr>
                <w:sz w:val="18"/>
              </w:rPr>
              <w:t>× 1,45–1,50</w:t>
            </w:r>
          </w:p>
        </w:tc>
        <w:tc>
          <w:tcPr>
            <w:tcW w:type="dxa" w:w="2160"/>
          </w:tcPr>
          <w:p>
            <w:r>
              <w:rPr>
                <w:sz w:val="18"/>
              </w:rPr>
              <w:t>0,014–0,015</w:t>
            </w:r>
          </w:p>
        </w:tc>
      </w:tr>
      <w:tr>
        <w:tc>
          <w:tcPr>
            <w:tcW w:type="dxa" w:w="2160"/>
          </w:tcPr>
          <w:p>
            <w:r>
              <w:rPr>
                <w:sz w:val="18"/>
              </w:rPr>
              <w:t>Blocos intertravados 8 cm, 35 MPa (48 und/m²)</w:t>
            </w:r>
          </w:p>
        </w:tc>
        <w:tc>
          <w:tcPr>
            <w:tcW w:type="dxa" w:w="2160"/>
          </w:tcPr>
          <w:p>
            <w:r>
              <w:rPr>
                <w:sz w:val="18"/>
              </w:rPr>
              <w:t>DER-ES 200206 + traço vibroprensado</w:t>
            </w:r>
          </w:p>
        </w:tc>
        <w:tc>
          <w:tcPr>
            <w:tcW w:type="dxa" w:w="2160"/>
          </w:tcPr>
          <w:p>
            <w:r>
              <w:rPr>
                <w:sz w:val="18"/>
              </w:rPr>
              <w:t>0,08 m³ de concreto × 1,85–1,95 t de agregado/m³</w:t>
            </w:r>
          </w:p>
        </w:tc>
        <w:tc>
          <w:tcPr>
            <w:tcW w:type="dxa" w:w="2160"/>
          </w:tcPr>
          <w:p>
            <w:r>
              <w:rPr>
                <w:sz w:val="18"/>
              </w:rPr>
              <w:t>0,148–0,156</w:t>
            </w:r>
          </w:p>
        </w:tc>
      </w:tr>
      <w:tr>
        <w:tc>
          <w:tcPr>
            <w:tcW w:type="dxa" w:w="2160"/>
          </w:tcPr>
          <w:p>
            <w:r>
              <w:rPr>
                <w:sz w:val="18"/>
              </w:rPr>
              <w:t>Base — brita graduada simples 12–15 cm</w:t>
            </w:r>
          </w:p>
        </w:tc>
        <w:tc>
          <w:tcPr>
            <w:tcW w:type="dxa" w:w="2160"/>
          </w:tcPr>
          <w:p>
            <w:r>
              <w:rPr>
                <w:sz w:val="18"/>
              </w:rPr>
              <w:t>SINAPI 96396/105727</w:t>
            </w:r>
          </w:p>
        </w:tc>
        <w:tc>
          <w:tcPr>
            <w:tcW w:type="dxa" w:w="2160"/>
          </w:tcPr>
          <w:p>
            <w:r>
              <w:rPr>
                <w:sz w:val="18"/>
              </w:rPr>
              <w:t>0,12–0,15 m³ × 2,15–2,25 t/m³ compactada</w:t>
            </w:r>
          </w:p>
        </w:tc>
        <w:tc>
          <w:tcPr>
            <w:tcW w:type="dxa" w:w="2160"/>
          </w:tcPr>
          <w:p>
            <w:r>
              <w:rPr>
                <w:sz w:val="18"/>
              </w:rPr>
              <w:t>0,258–0,337</w:t>
            </w:r>
          </w:p>
        </w:tc>
      </w:tr>
      <w:tr>
        <w:tc>
          <w:tcPr>
            <w:tcW w:type="dxa" w:w="2160"/>
          </w:tcPr>
          <w:p>
            <w:r>
              <w:rPr>
                <w:sz w:val="18"/>
              </w:rPr>
              <w:t>Meio-fio 15×30 cm, 2 lados</w:t>
            </w:r>
          </w:p>
        </w:tc>
        <w:tc>
          <w:tcPr>
            <w:tcW w:type="dxa" w:w="2160"/>
          </w:tcPr>
          <w:p>
            <w:r>
              <w:rPr>
                <w:sz w:val="18"/>
              </w:rPr>
              <w:t>DER-ES 200202</w:t>
            </w:r>
          </w:p>
        </w:tc>
        <w:tc>
          <w:tcPr>
            <w:tcW w:type="dxa" w:w="2160"/>
          </w:tcPr>
          <w:p>
            <w:r>
              <w:rPr>
                <w:sz w:val="18"/>
              </w:rPr>
              <w:t>0,045 m³/m × 2 ÷ 9 m × 2,10–2,19</w:t>
            </w:r>
          </w:p>
        </w:tc>
        <w:tc>
          <w:tcPr>
            <w:tcW w:type="dxa" w:w="2160"/>
          </w:tcPr>
          <w:p>
            <w:r>
              <w:rPr>
                <w:sz w:val="18"/>
              </w:rPr>
              <w:t>0,021–0,022</w:t>
            </w:r>
          </w:p>
        </w:tc>
      </w:tr>
      <w:tr>
        <w:tc>
          <w:tcPr>
            <w:tcW w:type="dxa" w:w="2160"/>
          </w:tcPr>
          <w:p>
            <w:r>
              <w:rPr>
                <w:sz w:val="18"/>
              </w:rPr>
              <w:t>Sarjeta 30×8 cm, 2 lados</w:t>
            </w:r>
          </w:p>
        </w:tc>
        <w:tc>
          <w:tcPr>
            <w:tcW w:type="dxa" w:w="2160"/>
          </w:tcPr>
          <w:p>
            <w:r>
              <w:rPr>
                <w:sz w:val="18"/>
              </w:rPr>
              <w:t>análoga DER-ES 200229</w:t>
            </w:r>
          </w:p>
        </w:tc>
        <w:tc>
          <w:tcPr>
            <w:tcW w:type="dxa" w:w="2160"/>
          </w:tcPr>
          <w:p>
            <w:r>
              <w:rPr>
                <w:sz w:val="18"/>
              </w:rPr>
              <w:t>0,048 m³/m ÷ 9 × 2,10–2,19</w:t>
            </w:r>
          </w:p>
        </w:tc>
        <w:tc>
          <w:tcPr>
            <w:tcW w:type="dxa" w:w="2160"/>
          </w:tcPr>
          <w:p>
            <w:r>
              <w:rPr>
                <w:sz w:val="18"/>
              </w:rPr>
              <w:t>0,011–0,012</w:t>
            </w:r>
          </w:p>
        </w:tc>
      </w:tr>
      <w:tr>
        <w:tc>
          <w:tcPr>
            <w:tcW w:type="dxa" w:w="2160"/>
          </w:tcPr>
          <w:p>
            <w:r>
              <w:rPr>
                <w:sz w:val="18"/>
              </w:rPr>
              <w:t>Calçada — lastro de concreto 8 cm (4 m ÷ 9 m)</w:t>
            </w:r>
          </w:p>
        </w:tc>
        <w:tc>
          <w:tcPr>
            <w:tcW w:type="dxa" w:w="2160"/>
          </w:tcPr>
          <w:p>
            <w:r>
              <w:rPr>
                <w:sz w:val="18"/>
              </w:rPr>
              <w:t>DER-ES 130110</w:t>
            </w:r>
          </w:p>
        </w:tc>
        <w:tc>
          <w:tcPr>
            <w:tcW w:type="dxa" w:w="2160"/>
          </w:tcPr>
          <w:p>
            <w:r>
              <w:rPr>
                <w:sz w:val="18"/>
              </w:rPr>
              <w:t>0,08 m³ × 4/9 × 2,10–2,19</w:t>
            </w:r>
          </w:p>
        </w:tc>
        <w:tc>
          <w:tcPr>
            <w:tcW w:type="dxa" w:w="2160"/>
          </w:tcPr>
          <w:p>
            <w:r>
              <w:rPr>
                <w:sz w:val="18"/>
              </w:rPr>
              <w:t>0,074–0,078</w:t>
            </w:r>
          </w:p>
        </w:tc>
      </w:tr>
      <w:tr>
        <w:tc>
          <w:tcPr>
            <w:tcW w:type="dxa" w:w="2160"/>
          </w:tcPr>
          <w:p>
            <w:r>
              <w:rPr>
                <w:sz w:val="18"/>
              </w:rPr>
              <w:t>Drenagem superficial (bocas de lobo, ramais, caixas)</w:t>
            </w:r>
          </w:p>
        </w:tc>
        <w:tc>
          <w:tcPr>
            <w:tcW w:type="dxa" w:w="2160"/>
          </w:tcPr>
          <w:p>
            <w:r>
              <w:rPr>
                <w:sz w:val="18"/>
              </w:rPr>
              <w:t>PREMISSA declarada</w:t>
            </w:r>
          </w:p>
        </w:tc>
        <w:tc>
          <w:tcPr>
            <w:tcW w:type="dxa" w:w="2160"/>
          </w:tcPr>
          <w:p>
            <w:r>
              <w:rPr>
                <w:sz w:val="18"/>
              </w:rPr>
              <w:t>ordem de grandeza</w:t>
            </w:r>
          </w:p>
        </w:tc>
        <w:tc>
          <w:tcPr>
            <w:tcW w:type="dxa" w:w="2160"/>
          </w:tcPr>
          <w:p>
            <w:r>
              <w:rPr>
                <w:sz w:val="18"/>
              </w:rPr>
              <w:t>0,050–0,150</w:t>
            </w:r>
          </w:p>
        </w:tc>
      </w:tr>
      <w:tr>
        <w:tc>
          <w:tcPr>
            <w:tcW w:type="dxa" w:w="2160"/>
          </w:tcPr>
          <w:p>
            <w:r>
              <w:rPr>
                <w:sz w:val="18"/>
              </w:rPr>
              <w:t>TOTAL — AGREGADOS</w:t>
            </w:r>
          </w:p>
        </w:tc>
        <w:tc>
          <w:tcPr>
            <w:tcW w:type="dxa" w:w="2160"/>
          </w:tcPr>
          <w:p>
            <w:r>
              <w:rPr>
                <w:sz w:val="18"/>
              </w:rPr>
            </w:r>
          </w:p>
        </w:tc>
        <w:tc>
          <w:tcPr>
            <w:tcW w:type="dxa" w:w="2160"/>
          </w:tcPr>
          <w:p>
            <w:r>
              <w:rPr>
                <w:sz w:val="18"/>
              </w:rPr>
            </w:r>
          </w:p>
        </w:tc>
        <w:tc>
          <w:tcPr>
            <w:tcW w:type="dxa" w:w="2160"/>
          </w:tcPr>
          <w:p>
            <w:r>
              <w:rPr>
                <w:sz w:val="18"/>
              </w:rPr>
              <w:t>0,73–0,93</w:t>
            </w:r>
          </w:p>
        </w:tc>
      </w:tr>
      <w:tr>
        <w:tc>
          <w:tcPr>
            <w:tcW w:type="dxa" w:w="2160"/>
          </w:tcPr>
          <w:p>
            <w:r>
              <w:rPr>
                <w:sz w:val="18"/>
              </w:rPr>
              <w:t>dos quais PRODUTOS DE BRITAGEM (pó + BGS + gravilha dos blocos + brita dos concretos; exclui areia natural)</w:t>
            </w:r>
          </w:p>
        </w:tc>
        <w:tc>
          <w:tcPr>
            <w:tcW w:type="dxa" w:w="2160"/>
          </w:tcPr>
          <w:p>
            <w:r>
              <w:rPr>
                <w:sz w:val="18"/>
              </w:rPr>
            </w:r>
          </w:p>
        </w:tc>
        <w:tc>
          <w:tcPr>
            <w:tcW w:type="dxa" w:w="2160"/>
          </w:tcPr>
          <w:p>
            <w:r>
              <w:rPr>
                <w:sz w:val="18"/>
              </w:rPr>
            </w:r>
          </w:p>
        </w:tc>
        <w:tc>
          <w:tcPr>
            <w:tcW w:type="dxa" w:w="2160"/>
          </w:tcPr>
          <w:p>
            <w:r>
              <w:rPr>
                <w:sz w:val="18"/>
              </w:rPr>
              <w:t>0,62–0,78</w:t>
            </w:r>
          </w:p>
        </w:tc>
      </w:tr>
    </w:tbl>
    <w:p>
      <w:pPr>
        <w:spacing w:after="120"/>
      </w:pPr>
      <w:r>
        <w:rPr>
          <w:b w:val="0"/>
          <w:i w:val="0"/>
          <w:sz w:val="19"/>
        </w:rPr>
        <w:t>Insumos de agregado nas composições de concreto (DER-ES 040237, FCK 25): brita 1 + brita 2 = 0,8022 m³ soltos e areia 0,6594 m³ por m³ de concreto — 2,10–2,19 t de agregados comprados por m³, dos quais 1,14–1,20 t de brita. Fatores de empolamento oficiais das próprias composições: lastro de brita 1,2 m³ soltos por m³ compactado (200223); pó de pedra 1,05 (200323); rachão 1,1 (050115).</w:t>
      </w:r>
    </w:p>
    <w:p>
      <w:pPr>
        <w:spacing w:after="120" w:before="160"/>
      </w:pPr>
      <w:r>
        <w:rPr>
          <w:b/>
          <w:i w:val="0"/>
          <w:sz w:val="22"/>
        </w:rPr>
        <w:t>Validações cruzadas da banda</w:t>
      </w:r>
    </w:p>
    <w:p>
      <w:pPr>
        <w:spacing w:after="120"/>
      </w:pPr>
      <w:r>
        <w:rPr>
          <w:b w:val="0"/>
          <w:i w:val="0"/>
          <w:sz w:val="19"/>
        </w:rPr>
        <w:t>(1) RODOVIA: aplicando as mesmas composições a uma pista de 2 faixas (7,2–10 m; sub-base 15–20 cm + BGS 15 cm + CBUQ 7–10 cm a 94% de agregado + drenagem), obtém-se 6,1–11,0 mil t/km — a banda CONTÉM o fator setorial de 9.800 t/km (ANEPAC/CETEM), que o pacote usa nas parcelas rodoviárias. (2) GALERIA: por geometria de seção (simples 2,0×2,0 m com paredes de 20–25 cm ≈ 1,8–2,2 m³ de concreto/m; dupla 2,8–3,7; tripla 4,0–5,2), a premissa de 2,4–4,0 m³/m usada para o mix simples/dupla/tripla da Bacia 1 fica dentro da envoltória — 5,0–8,8 t de agregados por metro. (3) TRIANGULAÇÃO POR VALOR: os 159–235 mil t de agregados estimados para a Bacia 1 custam, a R$ 50–80/t posto (premissa declarada de preço), R$ 8–19 mi — 2.5% a 5.8% do contrato de R$ 321,8 mi, participação típica de agregados em obra pesada. As três vias são independentes e convergem.</w:t>
      </w:r>
    </w:p>
    <w:p>
      <w:pPr>
        <w:spacing w:after="120" w:before="200"/>
      </w:pPr>
      <w:r>
        <w:rPr>
          <w:b/>
          <w:i w:val="0"/>
          <w:sz w:val="26"/>
        </w:rPr>
        <w:t>Anexo C — referencial completo dos coeficientes: fonte, status e faixas por tipo de obra</w:t>
      </w:r>
    </w:p>
    <w:p>
      <w:pPr>
        <w:spacing w:after="120"/>
      </w:pPr>
      <w:r>
        <w:rPr>
          <w:b/>
          <w:i w:val="0"/>
        </w:rPr>
        <w:t>A cadeia inteira, dita de uma vez: NENHUMA tonelada deste estudo nasce de dinheiro. O “R$ 1 bilhão” é contexto; as toneladas nascem de QUANTIDADES FÍSICAS publicadas (km de rodovia, m² de pavimentação, metros de galeria) multiplicadas pelos coeficientes abaixo. Há exatamente duas exceções monetárias, ambas declaradas: a Bacia 2, estimada por paridade de valor com a Bacia 1 (porque seus m² não foram publicados), e a triangulação de plausibilidade do Anexo B (agregados como % do valor do contrato), que confere ordem de grandeza e não entra em nenhuma soma.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Coeficiente</w:t>
            </w:r>
          </w:p>
        </w:tc>
        <w:tc>
          <w:tcPr>
            <w:tcW w:type="dxa" w:w="2160"/>
          </w:tcPr>
          <w:p>
            <w:r>
              <w:rPr>
                <w:b/>
                <w:sz w:val="18"/>
              </w:rPr>
              <w:t>Faixa (mín–máx)</w:t>
            </w:r>
          </w:p>
        </w:tc>
        <w:tc>
          <w:tcPr>
            <w:tcW w:type="dxa" w:w="2160"/>
          </w:tcPr>
          <w:p>
            <w:r>
              <w:rPr>
                <w:b/>
                <w:sz w:val="18"/>
              </w:rPr>
              <w:t>Fonte primária</w:t>
            </w:r>
          </w:p>
        </w:tc>
        <w:tc>
          <w:tcPr>
            <w:tcW w:type="dxa" w:w="2160"/>
          </w:tcPr>
          <w:p>
            <w:r>
              <w:rPr>
                <w:b/>
                <w:sz w:val="18"/>
              </w:rPr>
              <w:t>Status</w:t>
            </w:r>
          </w:p>
        </w:tc>
      </w:tr>
      <w:tr>
        <w:tc>
          <w:tcPr>
            <w:tcW w:type="dxa" w:w="2160"/>
          </w:tcPr>
          <w:p>
            <w:r>
              <w:rPr>
                <w:sz w:val="18"/>
              </w:rPr>
              <w:t>Rodovia nova, 2 faixas</w:t>
            </w:r>
          </w:p>
        </w:tc>
        <w:tc>
          <w:tcPr>
            <w:tcW w:type="dxa" w:w="2160"/>
          </w:tcPr>
          <w:p>
            <w:r>
              <w:rPr>
                <w:sz w:val="18"/>
              </w:rPr>
              <w:t>9.800 t/km (setorial); banda composicional 6,1–11,0 mil t/km</w:t>
            </w:r>
          </w:p>
        </w:tc>
        <w:tc>
          <w:tcPr>
            <w:tcW w:type="dxa" w:w="2160"/>
          </w:tcPr>
          <w:p>
            <w:r>
              <w:rPr>
                <w:sz w:val="18"/>
              </w:rPr>
              <w:t>Linhagem completa fixada no Anexo A-2: Balanço Mineral Brasileiro 2001 / Sumários DNPM 2000–2002 (a página oficial da ANM traz a variante 9.500 t/km); 9.800 na publicação ANEPAC “Visão da Mineração de Agregados no Brasil” (Valverde &amp; Tsuchiya, set/2007), reapresentada ao Senado (11/05/2009) e no doc. CPRM/SGB. A banda composicional (6,1–11,0) contém as duas variantes; a 9.500, as parcelas rodoviárias caem ~3% — imaterial</w:t>
            </w:r>
          </w:p>
        </w:tc>
        <w:tc>
          <w:tcPr>
            <w:tcW w:type="dxa" w:w="2160"/>
          </w:tcPr>
          <w:p>
            <w:r>
              <w:rPr>
                <w:sz w:val="18"/>
              </w:rPr>
              <w:t>SETORIAL com hospedagem institucional + validação composicional</w:t>
            </w:r>
          </w:p>
        </w:tc>
      </w:tr>
      <w:tr>
        <w:tc>
          <w:tcPr>
            <w:tcW w:type="dxa" w:w="2160"/>
          </w:tcPr>
          <w:p>
            <w:r>
              <w:rPr>
                <w:sz w:val="18"/>
              </w:rPr>
              <w:t>Manutenção de rodovia</w:t>
            </w:r>
          </w:p>
        </w:tc>
        <w:tc>
          <w:tcPr>
            <w:tcW w:type="dxa" w:w="2160"/>
          </w:tcPr>
          <w:p>
            <w:r>
              <w:rPr>
                <w:sz w:val="18"/>
              </w:rPr>
              <w:t>3.000 t/km</w:t>
            </w:r>
          </w:p>
        </w:tc>
        <w:tc>
          <w:tcPr>
            <w:tcW w:type="dxa" w:w="2160"/>
          </w:tcPr>
          <w:p>
            <w:r>
              <w:rPr>
                <w:sz w:val="18"/>
              </w:rPr>
              <w:t>mesma tabela ANEPAC/CETEM</w:t>
            </w:r>
          </w:p>
        </w:tc>
        <w:tc>
          <w:tcPr>
            <w:tcW w:type="dxa" w:w="2160"/>
          </w:tcPr>
          <w:p>
            <w:r>
              <w:rPr>
                <w:sz w:val="18"/>
              </w:rPr>
              <w:t>SETORIAL (não usada nas somas)</w:t>
            </w:r>
          </w:p>
        </w:tc>
      </w:tr>
      <w:tr>
        <w:tc>
          <w:tcPr>
            <w:tcW w:type="dxa" w:w="2160"/>
          </w:tcPr>
          <w:p>
            <w:r>
              <w:rPr>
                <w:sz w:val="18"/>
              </w:rPr>
              <w:t>Pavimentação urbana SIMPLES (pista 10 m)</w:t>
            </w:r>
          </w:p>
        </w:tc>
        <w:tc>
          <w:tcPr>
            <w:tcW w:type="dxa" w:w="2160"/>
          </w:tcPr>
          <w:p>
            <w:r>
              <w:rPr>
                <w:sz w:val="18"/>
              </w:rPr>
              <w:t>2.000–3.250 t/km = 0,20–0,33 t/m²</w:t>
            </w:r>
          </w:p>
        </w:tc>
        <w:tc>
          <w:tcPr>
            <w:tcW w:type="dxa" w:w="2160"/>
          </w:tcPr>
          <w:p>
            <w:r>
              <w:rPr>
                <w:sz w:val="18"/>
              </w:rPr>
              <w:t>mesma tabela ANEPAC/CETEM</w:t>
            </w:r>
          </w:p>
        </w:tc>
        <w:tc>
          <w:tcPr>
            <w:tcW w:type="dxa" w:w="2160"/>
          </w:tcPr>
          <w:p>
            <w:r>
              <w:rPr>
                <w:sz w:val="18"/>
              </w:rPr>
              <w:t>SETORIAL — NÃO usada: cobre só recapeamento de pista</w:t>
            </w:r>
          </w:p>
        </w:tc>
      </w:tr>
      <w:tr>
        <w:tc>
          <w:tcPr>
            <w:tcW w:type="dxa" w:w="2160"/>
          </w:tcPr>
          <w:p>
            <w:r>
              <w:rPr>
                <w:sz w:val="18"/>
              </w:rPr>
              <w:t>Urbanização COMPLETA em intertravado sobre areia (Guriri)</w:t>
            </w:r>
          </w:p>
        </w:tc>
        <w:tc>
          <w:tcPr>
            <w:tcW w:type="dxa" w:w="2160"/>
          </w:tcPr>
          <w:p>
            <w:r>
              <w:rPr>
                <w:sz w:val="18"/>
              </w:rPr>
              <w:t>0,73–0,93 t/m² de agregados; 0,62–0,78 t/m² de produtos de britagem</w:t>
            </w:r>
          </w:p>
        </w:tc>
        <w:tc>
          <w:tcPr>
            <w:tcW w:type="dxa" w:w="2160"/>
          </w:tcPr>
          <w:p>
            <w:r>
              <w:rPr>
                <w:sz w:val="18"/>
              </w:rPr>
              <w:t>Derivação própria pelas composições oficiais DER-ES/LABOR-UFES 040237, 200206, 200202, 200223, 200323, 130110 e SINAPI-ES 96396/95995 (Anexo B)</w:t>
            </w:r>
          </w:p>
        </w:tc>
        <w:tc>
          <w:tcPr>
            <w:tcW w:type="dxa" w:w="2160"/>
          </w:tcPr>
          <w:p>
            <w:r>
              <w:rPr>
                <w:sz w:val="18"/>
              </w:rPr>
              <w:t>COMPOSICIONAL (tabelas oficiais; drenagem superficial = premissa declarada)</w:t>
            </w:r>
          </w:p>
        </w:tc>
      </w:tr>
      <w:tr>
        <w:tc>
          <w:tcPr>
            <w:tcW w:type="dxa" w:w="2160"/>
          </w:tcPr>
          <w:p>
            <w:r>
              <w:rPr>
                <w:sz w:val="18"/>
              </w:rPr>
              <w:t>Edificação</w:t>
            </w:r>
          </w:p>
        </w:tc>
        <w:tc>
          <w:tcPr>
            <w:tcW w:type="dxa" w:w="2160"/>
          </w:tcPr>
          <w:p>
            <w:r>
              <w:rPr>
                <w:sz w:val="18"/>
              </w:rPr>
              <w:t>1.360 t por 1.000 m² (1,36 t/m²)</w:t>
            </w:r>
          </w:p>
        </w:tc>
        <w:tc>
          <w:tcPr>
            <w:tcW w:type="dxa" w:w="2160"/>
          </w:tcPr>
          <w:p>
            <w:r>
              <w:rPr>
                <w:sz w:val="18"/>
              </w:rPr>
              <w:t>tabela ANEPAC/Senado/CETEM</w:t>
            </w:r>
          </w:p>
        </w:tc>
        <w:tc>
          <w:tcPr>
            <w:tcW w:type="dxa" w:w="2160"/>
          </w:tcPr>
          <w:p>
            <w:r>
              <w:rPr>
                <w:sz w:val="18"/>
              </w:rPr>
              <w:t>SETORIAL — não entra nas somas (nenhuma edificação contada); foi usada POR ENGANO como fator de pavimentação em versão anterior — corrigido nesta</w:t>
            </w:r>
          </w:p>
        </w:tc>
      </w:tr>
      <w:tr>
        <w:tc>
          <w:tcPr>
            <w:tcW w:type="dxa" w:w="2160"/>
          </w:tcPr>
          <w:p>
            <w:r>
              <w:rPr>
                <w:sz w:val="18"/>
              </w:rPr>
              <w:t>Terceira faixa rodoviária</w:t>
            </w:r>
          </w:p>
        </w:tc>
        <w:tc>
          <w:tcPr>
            <w:tcW w:type="dxa" w:w="2160"/>
          </w:tcPr>
          <w:p>
            <w:r>
              <w:rPr>
                <w:sz w:val="18"/>
              </w:rPr>
              <w:t>30–50% de uma pista nova</w:t>
            </w:r>
          </w:p>
        </w:tc>
        <w:tc>
          <w:tcPr>
            <w:tcW w:type="dxa" w:w="2160"/>
          </w:tcPr>
          <w:p>
            <w:r>
              <w:rPr>
                <w:sz w:val="18"/>
              </w:rPr>
              <w:t>premissa nossa (1 faixa de 3,5–3,6 m + recomposição, sobre pista de 7,2–10 m)</w:t>
            </w:r>
          </w:p>
        </w:tc>
        <w:tc>
          <w:tcPr>
            <w:tcW w:type="dxa" w:w="2160"/>
          </w:tcPr>
          <w:p>
            <w:r>
              <w:rPr>
                <w:sz w:val="18"/>
              </w:rPr>
              <w:t>PREMISSA declarada</w:t>
            </w:r>
          </w:p>
        </w:tc>
      </w:tr>
      <w:tr>
        <w:tc>
          <w:tcPr>
            <w:tcW w:type="dxa" w:w="2160"/>
          </w:tcPr>
          <w:p>
            <w:r>
              <w:rPr>
                <w:sz w:val="18"/>
              </w:rPr>
              <w:t>Galeria de concreto</w:t>
            </w:r>
          </w:p>
        </w:tc>
        <w:tc>
          <w:tcPr>
            <w:tcW w:type="dxa" w:w="2160"/>
          </w:tcPr>
          <w:p>
            <w:r>
              <w:rPr>
                <w:sz w:val="18"/>
              </w:rPr>
              <w:t>2,4–4,0 m³ de concreto/m (mix simples–tripla) = 5,0–8,8 t/m</w:t>
            </w:r>
          </w:p>
        </w:tc>
        <w:tc>
          <w:tcPr>
            <w:tcW w:type="dxa" w:w="2160"/>
          </w:tcPr>
          <w:p>
            <w:r>
              <w:rPr>
                <w:sz w:val="18"/>
              </w:rPr>
              <w:t>geometria de seção (Anexo B) × insumos do concreto DER-ES 040237</w:t>
            </w:r>
          </w:p>
        </w:tc>
        <w:tc>
          <w:tcPr>
            <w:tcW w:type="dxa" w:w="2160"/>
          </w:tcPr>
          <w:p>
            <w:r>
              <w:rPr>
                <w:sz w:val="18"/>
              </w:rPr>
              <w:t>PREMISSA de seção × COMPOSICIONAL</w:t>
            </w:r>
          </w:p>
        </w:tc>
      </w:tr>
      <w:tr>
        <w:tc>
          <w:tcPr>
            <w:tcW w:type="dxa" w:w="2160"/>
          </w:tcPr>
          <w:p>
            <w:r>
              <w:rPr>
                <w:sz w:val="18"/>
              </w:rPr>
              <w:t>Agregados no concreto estrutural</w:t>
            </w:r>
          </w:p>
        </w:tc>
        <w:tc>
          <w:tcPr>
            <w:tcW w:type="dxa" w:w="2160"/>
          </w:tcPr>
          <w:p>
            <w:r>
              <w:rPr>
                <w:sz w:val="18"/>
              </w:rPr>
              <w:t>2,10–2,19 t/m³ (compra), sendo 1,14–1,20 t de brita</w:t>
            </w:r>
          </w:p>
        </w:tc>
        <w:tc>
          <w:tcPr>
            <w:tcW w:type="dxa" w:w="2160"/>
          </w:tcPr>
          <w:p>
            <w:r>
              <w:rPr>
                <w:sz w:val="18"/>
              </w:rPr>
              <w:t>composição DER-ES 040237 (FCK 25): brita 1+2 = 0,8022 m³ + areia 0,6594 m³</w:t>
            </w:r>
          </w:p>
        </w:tc>
        <w:tc>
          <w:tcPr>
            <w:tcW w:type="dxa" w:w="2160"/>
          </w:tcPr>
          <w:p>
            <w:r>
              <w:rPr>
                <w:sz w:val="18"/>
              </w:rPr>
              <w:t>OFICIAL (tabela referencial)</w:t>
            </w:r>
          </w:p>
        </w:tc>
      </w:tr>
      <w:tr>
        <w:tc>
          <w:tcPr>
            <w:tcW w:type="dxa" w:w="2160"/>
          </w:tcPr>
          <w:p>
            <w:r>
              <w:rPr>
                <w:sz w:val="18"/>
              </w:rPr>
              <w:t>Participação da brita no mix de agregados</w:t>
            </w:r>
          </w:p>
        </w:tc>
        <w:tc>
          <w:tcPr>
            <w:tcW w:type="dxa" w:w="2160"/>
          </w:tcPr>
          <w:p>
            <w:r>
              <w:rPr>
                <w:sz w:val="18"/>
              </w:rPr>
              <w:t>40–45% (adotado 42%)</w:t>
            </w:r>
          </w:p>
        </w:tc>
        <w:tc>
          <w:tcPr>
            <w:tcW w:type="dxa" w:w="2160"/>
          </w:tcPr>
          <w:p>
            <w:r>
              <w:rPr>
                <w:sz w:val="18"/>
              </w:rPr>
              <w:t>Produção nacional ANEPAC (página Mercado): 2022 = 640 Mt, sendo 374 de areia e 266 de brita → 41,56%; 2023 → 41,59%; 2020 → 41,65% [Anexo A-2]</w:t>
            </w:r>
          </w:p>
        </w:tc>
        <w:tc>
          <w:tcPr>
            <w:tcW w:type="dxa" w:w="2160"/>
          </w:tcPr>
          <w:p>
            <w:r>
              <w:rPr>
                <w:sz w:val="18"/>
              </w:rPr>
              <w:t>SETORIAL — usada como PISO nas obras (em rodovia e intertravado a participação real de produtos de britagem é maior, 63–94%)</w:t>
            </w:r>
          </w:p>
        </w:tc>
      </w:tr>
      <w:tr>
        <w:tc>
          <w:tcPr>
            <w:tcW w:type="dxa" w:w="2160"/>
          </w:tcPr>
          <w:p>
            <w:r>
              <w:rPr>
                <w:sz w:val="18"/>
              </w:rPr>
              <w:t>Índice de consumo de brita per capita (demanda corrente)</w:t>
            </w:r>
          </w:p>
        </w:tc>
        <w:tc>
          <w:tcPr>
            <w:tcW w:type="dxa" w:w="2160"/>
          </w:tcPr>
          <w:p>
            <w:r>
              <w:rPr>
                <w:sz w:val="18"/>
              </w:rPr>
              <w:t>1,669 t/hab/ano</w:t>
            </w:r>
          </w:p>
        </w:tc>
        <w:tc>
          <w:tcPr>
            <w:tcW w:type="dxa" w:w="2160"/>
          </w:tcPr>
          <w:p>
            <w:r>
              <w:rPr>
                <w:sz w:val="18"/>
              </w:rPr>
              <w:t>OFICIAL: vendas declaradas à ANM no RAL 2025 (6.888.010,58 t) ÷ população ES; a convergência ANEPAC (4,1 × ~41,6% ≈ 1,7) é só checagem</w:t>
            </w:r>
          </w:p>
        </w:tc>
        <w:tc>
          <w:tcPr>
            <w:tcW w:type="dxa" w:w="2160"/>
          </w:tcPr>
          <w:p>
            <w:r>
              <w:rPr>
                <w:sz w:val="18"/>
              </w:rPr>
              <w:t>OFICIAL (ANM/RAL) — a demanda corrente NÃO depende da tabela setorial</w:t>
            </w:r>
          </w:p>
        </w:tc>
      </w:tr>
      <w:tr>
        <w:tc>
          <w:tcPr>
            <w:tcW w:type="dxa" w:w="2160"/>
          </w:tcPr>
          <w:p>
            <w:r>
              <w:rPr>
                <w:sz w:val="18"/>
              </w:rPr>
              <w:t>Densidades de conversão</w:t>
            </w:r>
          </w:p>
        </w:tc>
        <w:tc>
          <w:tcPr>
            <w:tcW w:type="dxa" w:w="2160"/>
          </w:tcPr>
          <w:p>
            <w:r>
              <w:rPr>
                <w:sz w:val="18"/>
              </w:rPr>
              <w:t>brita solta 1,42–1,50 · pó 1,55–1,65 · BGS compactada 2,15–2,25 · CBUQ 2,35–2,45 (94% agregado) t/m³</w:t>
            </w:r>
          </w:p>
        </w:tc>
        <w:tc>
          <w:tcPr>
            <w:tcW w:type="dxa" w:w="2160"/>
          </w:tcPr>
          <w:p>
            <w:r>
              <w:rPr>
                <w:sz w:val="18"/>
              </w:rPr>
              <w:t>referências técnicas usuais (DNIT/NBR); empolamentos das próprias composições DER-ES (1,2 · 1,05 · 1,1)</w:t>
            </w:r>
          </w:p>
        </w:tc>
        <w:tc>
          <w:tcPr>
            <w:tcW w:type="dxa" w:w="2160"/>
          </w:tcPr>
          <w:p>
            <w:r>
              <w:rPr>
                <w:sz w:val="18"/>
              </w:rPr>
              <w:t>TÉCNICA declarada</w:t>
            </w:r>
          </w:p>
        </w:tc>
      </w:tr>
    </w:tbl>
    <w:p>
      <w:pPr>
        <w:spacing w:after="120" w:before="160"/>
      </w:pPr>
      <w:r>
        <w:rPr>
          <w:b/>
          <w:i w:val="0"/>
          <w:sz w:val="22"/>
        </w:rPr>
        <w:t>Mapa produto × tipo de obra (participação nos agregados de cada frente)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Tipo de obra</w:t>
            </w:r>
          </w:p>
        </w:tc>
        <w:tc>
          <w:tcPr>
            <w:tcW w:type="dxa" w:w="4320"/>
          </w:tcPr>
          <w:p>
            <w:r>
              <w:rPr>
                <w:b/>
                <w:sz w:val="18"/>
              </w:rPr>
              <w:t>Produtos da CIPREM e participação aproximada</w:t>
            </w:r>
          </w:p>
        </w:tc>
      </w:tr>
      <w:tr>
        <w:tc>
          <w:tcPr>
            <w:tcW w:type="dxa" w:w="4320"/>
          </w:tcPr>
          <w:p>
            <w:r>
              <w:rPr>
                <w:sz w:val="18"/>
              </w:rPr>
              <w:t>Galerias e pontes (concreto estrutural)</w:t>
            </w:r>
          </w:p>
        </w:tc>
        <w:tc>
          <w:tcPr>
            <w:tcW w:type="dxa" w:w="4320"/>
          </w:tcPr>
          <w:p>
            <w:r>
              <w:rPr>
                <w:sz w:val="18"/>
              </w:rPr>
              <w:t>brita 1 e brita 2: 54–57% da massa de agregados do concreto (composição 040237); areia 43–46% — substituível em parte por pó/areia industrial da própria pedreira</w:t>
            </w:r>
          </w:p>
        </w:tc>
      </w:tr>
      <w:tr>
        <w:tc>
          <w:tcPr>
            <w:tcW w:type="dxa" w:w="4320"/>
          </w:tcPr>
          <w:p>
            <w:r>
              <w:rPr>
                <w:sz w:val="18"/>
              </w:rPr>
              <w:t>Bases e sub-bases (rodovias e vias urbanas)</w:t>
            </w:r>
          </w:p>
        </w:tc>
        <w:tc>
          <w:tcPr>
            <w:tcW w:type="dxa" w:w="4320"/>
          </w:tcPr>
          <w:p>
            <w:r>
              <w:rPr>
                <w:sz w:val="18"/>
              </w:rPr>
              <w:t>BGS: 100% produto de britagem</w:t>
            </w:r>
          </w:p>
        </w:tc>
      </w:tr>
      <w:tr>
        <w:tc>
          <w:tcPr>
            <w:tcW w:type="dxa" w:w="4320"/>
          </w:tcPr>
          <w:p>
            <w:r>
              <w:rPr>
                <w:sz w:val="18"/>
              </w:rPr>
              <w:t>Capas asfálticas (CBUQ)</w:t>
            </w:r>
          </w:p>
        </w:tc>
        <w:tc>
          <w:tcPr>
            <w:tcW w:type="dxa" w:w="4320"/>
          </w:tcPr>
          <w:p>
            <w:r>
              <w:rPr>
                <w:sz w:val="18"/>
              </w:rPr>
              <w:t>pedrisco + pó de pedra: ~94% da massa da mistura</w:t>
            </w:r>
          </w:p>
        </w:tc>
      </w:tr>
      <w:tr>
        <w:tc>
          <w:tcPr>
            <w:tcW w:type="dxa" w:w="4320"/>
          </w:tcPr>
          <w:p>
            <w:r>
              <w:rPr>
                <w:sz w:val="18"/>
              </w:rPr>
              <w:t>Pavimento intertravado</w:t>
            </w:r>
          </w:p>
        </w:tc>
        <w:tc>
          <w:tcPr>
            <w:tcW w:type="dxa" w:w="4320"/>
          </w:tcPr>
          <w:p>
            <w:r>
              <w:rPr>
                <w:sz w:val="18"/>
              </w:rPr>
              <w:t>pó de pedra no colchão e rejunte (0,10 m³/m², composição 200206); gravilha/pedrisco + pó nos blocos, via fábricas de pré-moldados (48 und/m²)</w:t>
            </w:r>
          </w:p>
        </w:tc>
      </w:tr>
      <w:tr>
        <w:tc>
          <w:tcPr>
            <w:tcW w:type="dxa" w:w="4320"/>
          </w:tcPr>
          <w:p>
            <w:r>
              <w:rPr>
                <w:sz w:val="18"/>
              </w:rPr>
              <w:t>Lastros, drenos e bota-espera</w:t>
            </w:r>
          </w:p>
        </w:tc>
        <w:tc>
          <w:tcPr>
            <w:tcW w:type="dxa" w:w="4320"/>
          </w:tcPr>
          <w:p>
            <w:r>
              <w:rPr>
                <w:sz w:val="18"/>
              </w:rPr>
              <w:t>brita 2/3 e rachão (composições 200223, 030203, 050115)</w:t>
            </w:r>
          </w:p>
        </w:tc>
      </w:tr>
    </w:tbl>
    <w:p>
      <w:pPr>
        <w:spacing w:after="120"/>
      </w:pPr>
      <w:r>
        <w:rPr>
          <w:b w:val="0"/>
          <w:i w:val="0"/>
          <w:sz w:val="19"/>
        </w:rPr>
        <w:t>Leitura final para o analista: o que é OFICIAL sustenta o esqueleto (quantidades contratuais das obras; composições DER-ES/SINAPI; índice RAL/ANM da demanda corrente); o que é SETORIAL entra como fator médio validado por via independente; o que é PREMISSA está nomeado, com faixa e efeito testável. Nenhum coeficiente é “de memória”: cada linha tem origem apontada, e as evidências de fonte estão no Anexo A-2.</w:t>
      </w:r>
    </w:p>
    <w:p>
      <w:pPr>
        <w:spacing w:after="120" w:before="200"/>
      </w:pPr>
      <w:r>
        <w:rPr>
          <w:b/>
          <w:i w:val="0"/>
          <w:sz w:val="26"/>
        </w:rPr>
        <w:t>Anexo A-2 — evidências das fontes dos coeficientes (coleta de 18/08/2026)</w:t>
      </w:r>
    </w:p>
    <w:p>
      <w:pPr>
        <w:spacing w:after="120"/>
      </w:pPr>
      <w:r>
        <w:rPr>
          <w:b w:val="0"/>
          <w:i w:val="0"/>
          <w:sz w:val="17"/>
        </w:rPr>
        <w:t>Data da pesquisa: 2026-08-18.</w:t>
      </w:r>
    </w:p>
    <w:p>
      <w:pPr>
        <w:spacing w:after="120"/>
      </w:pPr>
      <w:r>
        <w:rPr>
          <w:b w:val="0"/>
          <w:i w:val="0"/>
          <w:sz w:val="17"/>
        </w:rPr>
        <w:t>Método: WebSearch exclusivamente (WebFetch bloqueado para TODOS os domínios testados, inclusive a exceção autorizada `sitefiespstorage.blob.core.windows.net` — erro EGRESS_BLOCKED). Todas as evidências abaixo vêm de snippets/resumos de resultados de busca, com a URL de origem indicada. Onde o trecho é a leitura consolidada do buscador sobre a página indicada (e não texto copiado da página), está marcado "(via snippet; site bloqueado)".</w:t>
      </w:r>
    </w:p>
    <w:p>
      <w:pPr>
        <w:spacing w:after="120"/>
      </w:pPr>
      <w:r>
        <w:rPr>
          <w:b w:val="0"/>
          <w:i w:val="0"/>
          <w:sz w:val="17"/>
        </w:rPr>
      </w:r>
    </w:p>
    <w:p>
      <w:pPr>
        <w:spacing w:after="120" w:before="160"/>
      </w:pPr>
      <w:r>
        <w:rPr>
          <w:b/>
          <w:i w:val="0"/>
          <w:sz w:val="22"/>
        </w:rPr>
        <w:t>Seção 1 — Tabela de consumo por tipo de obra</w:t>
      </w:r>
    </w:p>
    <w:p>
      <w:pPr>
        <w:spacing w:after="120"/>
      </w:pPr>
      <w:r>
        <w:rPr>
          <w:b w:val="0"/>
          <w:i w:val="0"/>
          <w:sz w:val="17"/>
        </w:rPr>
        <w:t>### [C01] Apresentação de Fernando M. Valverde ao Senado (Comissão de Infraestrutura, 2009) — metrô 50.000 t/km e manutenção de rodovia 3.000 t/km</w:t>
      </w:r>
    </w:p>
    <w:p>
      <w:pPr>
        <w:spacing w:after="120"/>
      </w:pPr>
      <w:r>
        <w:rPr>
          <w:b w:val="0"/>
          <w:i w:val="0"/>
          <w:sz w:val="17"/>
        </w:rPr>
        <w:t>URL: https://www.senado.gov.br/comissoes/ci/ap/ap20090511_fernandovalverde.pdf</w:t>
      </w:r>
    </w:p>
    <w:p>
      <w:pPr>
        <w:spacing w:after="120"/>
      </w:pPr>
      <w:r>
        <w:rPr>
          <w:b w:val="0"/>
          <w:i w:val="0"/>
          <w:sz w:val="17"/>
        </w:rPr>
        <w:t>Título indexado pelo buscador:</w:t>
      </w:r>
    </w:p>
    <w:p>
      <w:pPr>
        <w:spacing w:after="120"/>
      </w:pPr>
      <w:r>
        <w:rPr>
          <w:b w:val="0"/>
          <w:i w:val="0"/>
          <w:color w:val="595959"/>
          <w:sz w:val="17"/>
        </w:rPr>
        <w:t>"Fernando M. Valverde Osvaldo Yutaka Tsuchiya Brasília, 5 de novembro de 2009"</w:t>
      </w:r>
    </w:p>
    <w:p>
      <w:pPr>
        <w:spacing w:after="120"/>
      </w:pPr>
      <w:r>
        <w:rPr>
          <w:b w:val="0"/>
          <w:i w:val="0"/>
          <w:sz w:val="17"/>
        </w:rPr>
        <w:t>Trecho (leitura do buscador sobre o PDF, via snippet; site bloqueado):</w:t>
      </w:r>
    </w:p>
    <w:p>
      <w:pPr>
        <w:spacing w:after="120"/>
      </w:pPr>
      <w:r>
        <w:rPr>
          <w:b w:val="0"/>
          <w:i w:val="0"/>
          <w:color w:val="595959"/>
          <w:sz w:val="17"/>
        </w:rPr>
        <w:t>"the search results show a presentation containing data indicating that metro construction requires 50,000 tonnes per 1km, while road maintenance requires 3,000 tonnes per 1km. The document appears to be a presentation on the Aggregate Production Chain in Civil Construction, with information sourced from ANEPAC… delivered by Fernando M. Valverde to the Brazilian Senate (Senado) on November 5, 2009."</w:t>
      </w:r>
    </w:p>
    <w:p>
      <w:pPr>
        <w:spacing w:after="120"/>
      </w:pPr>
      <w:r>
        <w:rPr>
          <w:b w:val="0"/>
          <w:i w:val="0"/>
          <w:sz w:val="17"/>
        </w:rPr>
        <w:t>Em outra busca, a mesma URL foi lida assim (via snippet; site bloqueado):</w:t>
      </w:r>
    </w:p>
    <w:p>
      <w:pPr>
        <w:spacing w:after="120"/>
      </w:pPr>
      <w:r>
        <w:rPr>
          <w:b w:val="0"/>
          <w:i w:val="0"/>
          <w:color w:val="595959"/>
          <w:sz w:val="17"/>
        </w:rPr>
        <w:t>"Street maintenance: 100 tons per 1 km; Road maintenance: 9,800 tons per 1 km; Metro: 50,000 tons per 1 km"</w:t>
      </w:r>
    </w:p>
    <w:p>
      <w:pPr>
        <w:spacing w:after="120"/>
      </w:pPr>
      <w:r>
        <w:rPr>
          <w:b w:val="0"/>
          <w:i w:val="0"/>
          <w:sz w:val="17"/>
        </w:rPr>
        <w:t>Leitura: é a fonte-alvo do estudo — assinada por Valverde &amp; Tsuchiya (ANEPAC). O buscador confirma nela o metrô 50.000 t/km e a manutenção 3.000 t/km; numa das leituras o 9.800 aparece rotulado como "road maintenance" (provável troca de rótulo do resumidor: nas demais fontes 9.800 = CONSTRUÇÃO de 1 km de estrada pavimentada e 3.000 = manutenção). Atenção à data: a URL sugere 11/05/2009, mas o título interno do PDF diz "5 de novembro de 2009" (ambiguidade 05/11 vs 11/05 — a agenda de audiências da CI em legis.senado.leg.br/comissoes/audiencias?codcol=59 permite tirar a prova).</w:t>
      </w:r>
    </w:p>
    <w:p>
      <w:pPr>
        <w:spacing w:after="120"/>
      </w:pPr>
      <w:r>
        <w:rPr>
          <w:b w:val="0"/>
          <w:i w:val="0"/>
          <w:sz w:val="17"/>
        </w:rPr>
        <w:t>### [C02] "Visão da Mineração de Agregados no Brasil" (ANEPAC) — transcript SlidePlayer com a tabela slide a slide</w:t>
      </w:r>
    </w:p>
    <w:p>
      <w:pPr>
        <w:spacing w:after="120"/>
      </w:pPr>
      <w:r>
        <w:rPr>
          <w:b w:val="0"/>
          <w:i w:val="0"/>
          <w:sz w:val="17"/>
        </w:rPr>
        <w:t>URL: http://slideplayer.com.br/slide/1351512</w:t>
      </w:r>
    </w:p>
    <w:p>
      <w:pPr>
        <w:spacing w:after="120"/>
      </w:pPr>
      <w:r>
        <w:rPr>
          <w:b w:val="0"/>
          <w:i w:val="0"/>
          <w:sz w:val="17"/>
        </w:rPr>
        <w:t>Trecho (leitura do transcript pelo buscador, via snippet):</w:t>
      </w:r>
    </w:p>
    <w:p>
      <w:pPr>
        <w:spacing w:after="120"/>
      </w:pPr>
      <w:r>
        <w:rPr>
          <w:b w:val="0"/>
          <w:i w:val="0"/>
          <w:color w:val="595959"/>
          <w:sz w:val="17"/>
        </w:rPr>
        <w:t>"The presentation includes a consumption analysis by application showing dimensions and tonnages for different uses, including: auto-construction (35 m², 21 tons), popular housing (50 m², 68 tons), buildings (1000 m², 1360 tons), standard school works (1120 m², 1675 tons), urban paving (1km/10m: 3250 tons), and paved roads."</w:t>
      </w:r>
    </w:p>
    <w:p>
      <w:pPr>
        <w:spacing w:after="120"/>
      </w:pPr>
      <w:r>
        <w:rPr>
          <w:b w:val="0"/>
          <w:i w:val="0"/>
          <w:sz w:val="17"/>
        </w:rPr>
        <w:t>Leitura: é a tabela do estudo quase linha a linha — casa popular 68 t/50 m², edifício 1.360 t/1.000 m² — e acrescenta linhas que o estudo não usa (autoconstrução 21 t/35 m²; escola padrão 1.675 t/1.120 m²). IMPORTANTE: aqui pavimentação urbana aparece como valor único 3.250 t (1 km, pista 10 m), não como faixa 2.000–3.250.</w:t>
      </w:r>
    </w:p>
    <w:p>
      <w:pPr>
        <w:spacing w:after="120"/>
      </w:pPr>
      <w:r>
        <w:rPr>
          <w:b w:val="0"/>
          <w:i w:val="0"/>
          <w:sz w:val="17"/>
        </w:rPr>
        <w:t>### [C03] O "Diagnóstico do setor de agregados" hospedado na UFSC é o mesmo documento ANEPAC — autoria e data fixadas</w:t>
      </w:r>
    </w:p>
    <w:p>
      <w:pPr>
        <w:spacing w:after="120"/>
      </w:pPr>
      <w:r>
        <w:rPr>
          <w:b w:val="0"/>
          <w:i w:val="0"/>
          <w:sz w:val="17"/>
        </w:rPr>
        <w:t>URL: https://rodoviasverdes.paginas.ufsc.br/files/2010/03/Diagnostico-do-setor-de-agregados.pdf (variante: https://rodoviasverdes.ufsc.br/files/2010/03/Diagnostico-do-setor-de-agregados.pdf)</w:t>
      </w:r>
    </w:p>
    <w:p>
      <w:pPr>
        <w:spacing w:after="120"/>
      </w:pPr>
      <w:r>
        <w:rPr>
          <w:b w:val="0"/>
          <w:i w:val="0"/>
          <w:sz w:val="17"/>
        </w:rPr>
        <w:t>Título indexado:</w:t>
      </w:r>
    </w:p>
    <w:p>
      <w:pPr>
        <w:spacing w:after="120"/>
      </w:pPr>
      <w:r>
        <w:rPr>
          <w:b w:val="0"/>
          <w:i w:val="0"/>
          <w:color w:val="595959"/>
          <w:sz w:val="17"/>
        </w:rPr>
        <w:t>"Visão da Mineração de Agregados no Brasil: Diagnóstico, …" / "Associação Nacional de Entidades de Produtores de…"</w:t>
      </w:r>
    </w:p>
    <w:p>
      <w:pPr>
        <w:spacing w:after="120"/>
      </w:pPr>
      <w:r>
        <w:rPr>
          <w:b w:val="0"/>
          <w:i w:val="0"/>
          <w:sz w:val="17"/>
        </w:rPr>
        <w:t>Trecho (leitura do buscador, via snippet; PDF não abrível):</w:t>
      </w:r>
    </w:p>
    <w:p>
      <w:pPr>
        <w:spacing w:after="120"/>
      </w:pPr>
      <w:r>
        <w:rPr>
          <w:b w:val="0"/>
          <w:i w:val="0"/>
          <w:color w:val="595959"/>
          <w:sz w:val="17"/>
        </w:rPr>
        <w:t>"The document 'Visão da Mineração de Agregados no Brasil: Diagnóstico, Tendências e Desafios' was authored by Fernando M. Valverde and Osvaldo Yutaka Tsuchiya in September 2007. The publication, produced by the Associação Nacional de Entidades de Produtores de Agregados para Construção Civil…"</w:t>
      </w:r>
    </w:p>
    <w:p>
      <w:pPr>
        <w:spacing w:after="120"/>
      </w:pPr>
      <w:r>
        <w:rPr>
          <w:b w:val="0"/>
          <w:i w:val="0"/>
          <w:sz w:val="17"/>
        </w:rPr>
        <w:t>Leitura: fecha o circuito de atribuição — o arquivo da UFSC (rodoviasverdes) NÃO é um estudo da UFSC: é a publicação ANEPAC de setembro/2007, de Valverde &amp; Tsuchiya, que a apresentação de 2009 no Senado [C01] reaproveita. Quem cita "diagnóstico UFSC" está citando ANEPAC 2007.</w:t>
      </w:r>
    </w:p>
    <w:p>
      <w:pPr>
        <w:spacing w:after="120"/>
      </w:pPr>
      <w:r>
        <w:rPr>
          <w:b w:val="0"/>
          <w:i w:val="0"/>
          <w:sz w:val="17"/>
        </w:rPr>
        <w:t>### [C04] Página oficial ANM "Agregados para a Construção Civil" — versão da tabela com FAIXA 2.000–3.250 e rodovia 9.500 (não 9.800)</w:t>
      </w:r>
    </w:p>
    <w:p>
      <w:pPr>
        <w:spacing w:after="120"/>
      </w:pPr>
      <w:r>
        <w:rPr>
          <w:b w:val="0"/>
          <w:i w:val="0"/>
          <w:sz w:val="17"/>
        </w:rPr>
        <w:t>URL: https://www.gov.br/anm/pt-br/assuntos/economia-mineral/publicacoes/outras-publicacoes-1/8-1-2013-agregados-minerais (variante indexada: …/8-1-agregados-minerais)</w:t>
      </w:r>
    </w:p>
    <w:p>
      <w:pPr>
        <w:spacing w:after="120"/>
      </w:pPr>
      <w:r>
        <w:rPr>
          <w:b w:val="0"/>
          <w:i w:val="0"/>
          <w:sz w:val="17"/>
        </w:rPr>
        <w:t>Trecho (leitura do buscador em PT sobre essa página, via snippet; site bloqueado):</w:t>
      </w:r>
    </w:p>
    <w:p>
      <w:pPr>
        <w:spacing w:after="120"/>
      </w:pPr>
      <w:r>
        <w:rPr>
          <w:b w:val="0"/>
          <w:i w:val="0"/>
          <w:color w:val="595959"/>
          <w:sz w:val="17"/>
        </w:rPr>
        <w:t>"um quilômetro de estrada vicinal consome 2.800 toneladas de agregados. Para fins de comparação, um quilômetro de via pública urbana de 10 m de largura consome entre 2.000 a 3.250 toneladas, enquanto uma estrada pavimentada normal consome cerca de 9.500 toneladas por quilômetro."</w:t>
      </w:r>
    </w:p>
    <w:p>
      <w:pPr>
        <w:spacing w:after="120"/>
      </w:pPr>
      <w:r>
        <w:rPr>
          <w:b w:val="0"/>
          <w:i w:val="0"/>
          <w:sz w:val="17"/>
        </w:rPr>
        <w:t>E, em outra consulta sobre a mesma página (via snippet):</w:t>
      </w:r>
    </w:p>
    <w:p>
      <w:pPr>
        <w:spacing w:after="120"/>
      </w:pPr>
      <w:r>
        <w:rPr>
          <w:b w:val="0"/>
          <w:i w:val="0"/>
          <w:color w:val="595959"/>
          <w:sz w:val="17"/>
        </w:rPr>
        <w:t>"In popular housing, a basic unit of 50 m² consumes 68 tons; a public building of 1,000 m², 1,360 tons; a standard school of 1,120 m², 1,675 tons."</w:t>
      </w:r>
    </w:p>
    <w:p>
      <w:pPr>
        <w:spacing w:after="120"/>
      </w:pPr>
      <w:r>
        <w:rPr>
          <w:b w:val="0"/>
          <w:i w:val="0"/>
          <w:sz w:val="17"/>
        </w:rPr>
        <w:t>Leitura: a linhagem oficial ANM/DNPM ("Agregados Minerais", texto de 2013 da série de publicações de economia mineral) carrega: casa popular 68 t; edifício público 1.360 t; escola 1.675 t; via urbana 10 m = 2.000 a 3.250 t/km (é daqui que vem a FAIXA usada no estudo); vicinal 2.800 t/km; e estrada pavimentada normal ≈ 9.500 t/km — variante de valor frente aos 9.800 do estudo.</w:t>
      </w:r>
    </w:p>
    <w:p>
      <w:pPr>
        <w:spacing w:after="120"/>
      </w:pPr>
      <w:r>
        <w:rPr>
          <w:b w:val="0"/>
          <w:i w:val="0"/>
          <w:sz w:val="17"/>
        </w:rPr>
        <w:t>### [C05] CPRM/Serviço Geológico do Brasil — "Projeto Materiais para a Construção Civil" carrega o 9.800</w:t>
      </w:r>
    </w:p>
    <w:p>
      <w:pPr>
        <w:spacing w:after="120"/>
      </w:pPr>
      <w:r>
        <w:rPr>
          <w:b w:val="0"/>
          <w:i w:val="0"/>
          <w:sz w:val="17"/>
        </w:rPr>
        <w:t>URL: https://rigeo.sgb.gov.br/server/api/core/bitstreams/48b729db-726c-4fe9-9418-a87ccff715af/content</w:t>
      </w:r>
    </w:p>
    <w:p>
      <w:pPr>
        <w:spacing w:after="120"/>
      </w:pPr>
      <w:r>
        <w:rPr>
          <w:b w:val="0"/>
          <w:i w:val="0"/>
          <w:sz w:val="17"/>
        </w:rPr>
        <w:t>Trecho (leitura do buscador, via snippet; site bloqueado):</w:t>
      </w:r>
    </w:p>
    <w:p>
      <w:pPr>
        <w:spacing w:after="120"/>
      </w:pPr>
      <w:r>
        <w:rPr>
          <w:b w:val="0"/>
          <w:i w:val="0"/>
          <w:color w:val="595959"/>
          <w:sz w:val="17"/>
        </w:rPr>
        <w:t>"approximately 9,800 tons of aggregates are consumed for each kilometer of paved road. The document also provides related consumption data… approximately 50,000 tons of aggregates for stadium [provável leitura errada de 'metrô'] construction and 68 tons for each 50 m² house. This appears to be from a 2002 mineral summary document about construction materials."</w:t>
      </w:r>
    </w:p>
    <w:p>
      <w:pPr>
        <w:spacing w:after="120"/>
      </w:pPr>
      <w:r>
        <w:rPr>
          <w:b w:val="0"/>
          <w:i w:val="0"/>
          <w:sz w:val="17"/>
        </w:rPr>
        <w:t>Leitura: documento público (SGB/CPRM) com o valor 9.800 t/km para estrada pavimentada + 68 t casa + 50.000 t, remetendo a "sumário mineral 2002" como origem. O rótulo "stadium" para o 50.000 é quase certamente erro do resumidor (todas as demais fontes dizem metrô); manter cautela.</w:t>
      </w:r>
    </w:p>
    <w:p>
      <w:pPr>
        <w:spacing w:after="120"/>
      </w:pPr>
      <w:r>
        <w:rPr>
          <w:b w:val="0"/>
          <w:i w:val="0"/>
          <w:sz w:val="17"/>
        </w:rPr>
        <w:t>### [C06] Artigo "Agregados: Um Mercado Mundial" (Catálogo de Mineração) — pacote completo 50.000/9.800/68/1.360 em um só lugar</w:t>
      </w:r>
    </w:p>
    <w:p>
      <w:pPr>
        <w:spacing w:after="120"/>
      </w:pPr>
      <w:r>
        <w:rPr>
          <w:b w:val="0"/>
          <w:i w:val="0"/>
          <w:sz w:val="17"/>
        </w:rPr>
        <w:t>URL: https://catalogodemineracao.com.br/artigo/agregados-um-mercado-mundial.html</w:t>
      </w:r>
    </w:p>
    <w:p>
      <w:pPr>
        <w:spacing w:after="120"/>
      </w:pPr>
      <w:r>
        <w:rPr>
          <w:b w:val="0"/>
          <w:i w:val="0"/>
          <w:sz w:val="17"/>
        </w:rPr>
        <w:t>Trecho (leitura do buscador, via snippet):</w:t>
      </w:r>
    </w:p>
    <w:p>
      <w:pPr>
        <w:spacing w:after="120"/>
      </w:pPr>
      <w:r>
        <w:rPr>
          <w:b w:val="0"/>
          <w:i w:val="0"/>
          <w:color w:val="595959"/>
          <w:sz w:val="17"/>
        </w:rPr>
        <w:t>"for each kilometer of metro constructed worldwide, 50,000 tons of aggregates are consumed; each kilometer of paved road consumes approximately 9,800 tons; popular houses of 50 m² consume 68 tons; and buildings, schools, and hospitals consume 1,360 tons per 1,000 m²."</w:t>
      </w:r>
    </w:p>
    <w:p>
      <w:pPr>
        <w:spacing w:after="120"/>
      </w:pPr>
      <w:r>
        <w:rPr>
          <w:b w:val="0"/>
          <w:i w:val="0"/>
          <w:sz w:val="17"/>
        </w:rPr>
        <w:t>Leitura: reprodução setorial (não oficial) da tabela na variante do estudo: metrô 50.000 + estrada 9.800 + casa 68 + edifício 1.360/1.000 m². Confirma que 9.800 e 9.500 circulam como variantes da MESMA linha.</w:t>
      </w:r>
    </w:p>
    <w:p>
      <w:pPr>
        <w:spacing w:after="120"/>
      </w:pPr>
      <w:r>
        <w:rPr>
          <w:b w:val="0"/>
          <w:i w:val="0"/>
          <w:sz w:val="17"/>
        </w:rPr>
        <w:t>### [C07] Sumários Minerais DNPM/ANM 2000 e 2002 (capítulo Agregados) — URLs da linhagem oficial</w:t>
      </w:r>
    </w:p>
    <w:p>
      <w:pPr>
        <w:spacing w:after="120"/>
      </w:pPr>
      <w:r>
        <w:rPr>
          <w:b w:val="0"/>
          <w:i w:val="0"/>
          <w:sz w:val="17"/>
        </w:rPr>
        <w:t>URLs:</w:t>
      </w:r>
    </w:p>
    <w:p>
      <w:pPr>
        <w:spacing w:after="120"/>
      </w:pPr>
      <w:r>
        <w:rPr>
          <w:b w:val="0"/>
          <w:i w:val="0"/>
          <w:sz w:val="17"/>
        </w:rPr>
        <w:t>https://www.gov.br/anm/pt-br/assuntos/economia-mineral/publicacoes/sumario-mineral/sumario-mineral-brasileiro-2002/agregados_revisado_ (título indexado: "AGREGADOS PARA CONSTRUÇÃO CIVIL 28")</w:t>
      </w:r>
    </w:p>
    <w:p>
      <w:pPr>
        <w:spacing w:after="120"/>
      </w:pPr>
      <w:r>
        <w:rPr>
          <w:b w:val="0"/>
          <w:i w:val="0"/>
          <w:sz w:val="17"/>
        </w:rPr>
        <w:t>https://www.gov.br/anm/pt-br/assuntos/economia-mineral/publicacoes/sumario-mineral/sumario-brasileiro-mineral-2000/agregados-para-construcao-civil/view</w:t>
      </w:r>
    </w:p>
    <w:p>
      <w:pPr>
        <w:spacing w:after="120"/>
      </w:pPr>
      <w:r>
        <w:rPr>
          <w:b w:val="0"/>
          <w:i w:val="0"/>
          <w:sz w:val="17"/>
        </w:rPr>
        <w:t>Trecho (leitura do buscador em busca por "9.800" + Sumário, via snippet; site bloqueado):</w:t>
      </w:r>
    </w:p>
    <w:p>
      <w:pPr>
        <w:spacing w:after="120"/>
      </w:pPr>
      <w:r>
        <w:rPr>
          <w:b w:val="0"/>
          <w:i w:val="0"/>
          <w:color w:val="595959"/>
          <w:sz w:val="17"/>
        </w:rPr>
        <w:t>"For each kilometer of paved road, approximately 9,800 tons of aggregates are consumed. This figure appears consistently across multiple sources discussing construction aggregate consumption data… The results also show that approximately 50,000 tons of aggregates are consumed for each kilometer of subway construction, about 68 tons for popular 50m² houses, and about 1,360 tons for each 1,000m² of buildings."</w:t>
      </w:r>
    </w:p>
    <w:p>
      <w:pPr>
        <w:spacing w:after="120"/>
      </w:pPr>
      <w:r>
        <w:rPr>
          <w:b w:val="0"/>
          <w:i w:val="0"/>
          <w:sz w:val="17"/>
        </w:rPr>
        <w:t>Leitura: o capítulo Agregados dos Sumários 2000/2002 apareceu repetidamente nas buscas pelos valores 9.800/50.000/68/1.360; o buscador associa o conjunto à linhagem Sumário Mineral. Não foi possível copiar a frase exata da página gov.br (bloqueada), mas as duas URLs acima são os alvos citáveis.</w:t>
      </w:r>
    </w:p>
    <w:p>
      <w:pPr>
        <w:spacing w:after="120"/>
      </w:pPr>
      <w:r>
        <w:rPr>
          <w:b w:val="0"/>
          <w:i w:val="0"/>
          <w:sz w:val="17"/>
        </w:rPr>
        <w:t>### [C08] Balanço Mineral Brasileiro 2001 (capítulo Agregados) — apontado como origem do "1.360 t / edifício público de 1.000 m²"</w:t>
      </w:r>
    </w:p>
    <w:p>
      <w:pPr>
        <w:spacing w:after="120"/>
      </w:pPr>
      <w:r>
        <w:rPr>
          <w:b w:val="0"/>
          <w:i w:val="0"/>
          <w:sz w:val="17"/>
        </w:rPr>
        <w:t>URL: https://www.gov.br/anm/pt-br/centrais-de-conteudos/anm/publicacoes-economia-mineral/arquivos/agregados-para-contrucao-civil.pdf (título indexado: "Balanço Mineral Brasileiro 2001 1 AGREGADOS PARA CONSTRUÇÃO CIVIL")</w:t>
      </w:r>
    </w:p>
    <w:p>
      <w:pPr>
        <w:spacing w:after="120"/>
      </w:pPr>
      <w:r>
        <w:rPr>
          <w:b w:val="0"/>
          <w:i w:val="0"/>
          <w:sz w:val="17"/>
        </w:rPr>
        <w:t>Trecho (leitura do buscador, via snippet; site bloqueado):</w:t>
      </w:r>
    </w:p>
    <w:p>
      <w:pPr>
        <w:spacing w:after="120"/>
      </w:pPr>
      <w:r>
        <w:rPr>
          <w:b w:val="0"/>
          <w:i w:val="0"/>
          <w:color w:val="595959"/>
          <w:sz w:val="17"/>
        </w:rPr>
        <w:t>"A public building of 1,000 m² consumes 1,360 tons of aggregates. This data comes from the Brazilian Mineral Balance (Balanço Mineral Brasileiro) from 2001, a government document about aggregates for civil construction."</w:t>
      </w:r>
    </w:p>
    <w:p>
      <w:pPr>
        <w:spacing w:after="120"/>
      </w:pPr>
      <w:r>
        <w:rPr>
          <w:b w:val="0"/>
          <w:i w:val="0"/>
          <w:sz w:val="17"/>
        </w:rPr>
        <w:t>Complemento da mesma fonte (via snippet):</w:t>
      </w:r>
    </w:p>
    <w:p>
      <w:pPr>
        <w:spacing w:after="120"/>
      </w:pPr>
      <w:r>
        <w:rPr>
          <w:b w:val="0"/>
          <w:i w:val="0"/>
          <w:color w:val="595959"/>
          <w:sz w:val="17"/>
        </w:rPr>
        <w:t>"Brazil had aggregate reserves of approximately 20.5 billion tons, with annual consumption of around 340 million tons."</w:t>
      </w:r>
    </w:p>
    <w:p>
      <w:pPr>
        <w:spacing w:after="120"/>
      </w:pPr>
      <w:r>
        <w:rPr>
          <w:b w:val="0"/>
          <w:i w:val="0"/>
          <w:sz w:val="17"/>
        </w:rPr>
        <w:t>Leitura: o Balanço Mineral 2001 é o documento oficial mais antigo localizado com a linha "edifício público 1.000 m² = 1.360 t" — anterior ao diagnóstico ANEPAC 2007. A cadeia provável é: Balanço/Sumário DNPM (2000–2002) → ANEPAC (Valverde &amp; Tsuchiya 2007) → Senado 2009 → réplicas (CETEM, CPRM, CODEMGE, imprensa setorial).</w:t>
      </w:r>
    </w:p>
    <w:p>
      <w:pPr>
        <w:spacing w:after="120"/>
      </w:pPr>
      <w:r>
        <w:rPr>
          <w:b w:val="0"/>
          <w:i w:val="0"/>
          <w:sz w:val="17"/>
        </w:rPr>
        <w:t>### [C09] Capítulo "Mercado de Agregados no Brasil" — Gilson Ezequiel Ferreira (CETEM), no Manual de Agregados</w:t>
      </w:r>
    </w:p>
    <w:p>
      <w:pPr>
        <w:spacing w:after="120"/>
      </w:pPr>
      <w:r>
        <w:rPr>
          <w:b w:val="0"/>
          <w:i w:val="0"/>
          <w:sz w:val="17"/>
        </w:rPr>
        <w:t>URLs:</w:t>
      </w:r>
    </w:p>
    <w:p>
      <w:pPr>
        <w:spacing w:after="120"/>
      </w:pPr>
      <w:r>
        <w:rPr>
          <w:b w:val="0"/>
          <w:i w:val="0"/>
          <w:sz w:val="17"/>
        </w:rPr>
        <w:t>https://mineralis.cetem.gov.br/bitstream/cetem/2045/1/Cap%202%20Mercado%20de%20Agregados%20no%20Brasil.pdf (título indexado: "CAPÍTULO 2 MERCADO DE AGREGADOS NO BRASIL Gilson Ezequiel Ferreira")</w:t>
      </w:r>
    </w:p>
    <w:p>
      <w:pPr>
        <w:spacing w:after="120"/>
      </w:pPr>
      <w:r>
        <w:rPr>
          <w:b w:val="0"/>
          <w:i w:val="0"/>
          <w:sz w:val="17"/>
        </w:rPr>
        <w:t>Manual completo: https://mineralis.cetem.gov.br/bitstream/cetem/2043/1/manual_de_agregados_para_construcao_civil.pdf</w:t>
      </w:r>
    </w:p>
    <w:p>
      <w:pPr>
        <w:spacing w:after="120"/>
      </w:pPr>
      <w:r>
        <w:rPr>
          <w:b w:val="0"/>
          <w:i w:val="0"/>
          <w:sz w:val="17"/>
        </w:rPr>
        <w:t>Trecho (leitura do buscador sobre o Cap. 2, via snippet; site bloqueado):</w:t>
      </w:r>
    </w:p>
    <w:p>
      <w:pPr>
        <w:spacing w:after="120"/>
      </w:pPr>
      <w:r>
        <w:rPr>
          <w:b w:val="0"/>
          <w:i w:val="0"/>
          <w:color w:val="595959"/>
          <w:sz w:val="17"/>
        </w:rPr>
        <w:t>"The document contains Table 3 showing the evolution of per capita consumption of sand and crushed stone in Brazil (measured in tons). The data is estimated considering a population of 191 million according to the 2010 census."</w:t>
      </w:r>
    </w:p>
    <w:p>
      <w:pPr>
        <w:spacing w:after="120"/>
      </w:pPr>
      <w:r>
        <w:rPr>
          <w:b w:val="0"/>
          <w:i w:val="0"/>
          <w:sz w:val="17"/>
        </w:rPr>
        <w:t>Leitura: o capítulo do CETEM existe na URL indicada e traz a série per capita (Tabela 3, base Censo 2010). Nas buscas pelas linhas da tabela de obras, este PDF aparecia junto com os resultados de 68 t/1.360 t/2.000–3.250 — é replicador da mesma tabela DNPM/ANEPAC, não origem independente.</w:t>
      </w:r>
    </w:p>
    <w:p>
      <w:pPr>
        <w:spacing w:after="120"/>
      </w:pPr>
      <w:r>
        <w:rPr>
          <w:b w:val="0"/>
          <w:i w:val="0"/>
          <w:sz w:val="17"/>
        </w:rPr>
        <w:t>### [C10] Valores "internacionais" distintos que circulam junto (não confundir com a tabela do estudo)</w:t>
      </w:r>
    </w:p>
    <w:p>
      <w:pPr>
        <w:spacing w:after="120"/>
      </w:pPr>
      <w:r>
        <w:rPr>
          <w:b w:val="0"/>
          <w:i w:val="0"/>
          <w:sz w:val="17"/>
        </w:rPr>
        <w:t>URL (contexto da busca em que apareceram; associados a linhagem CETEM/ANM): https://www.gov.br/anm/pt-br/assuntos/economia-mineral/publicacoes/outras-publicacoes-1/8-1-2013-agregados-minerais e https://mineralis.cetem.gov.br/bitstream/cetem/2049/1/Cap%206%20Usos%20e%20Especifica%C3%A7%C3%B5es.pdf</w:t>
      </w:r>
    </w:p>
    <w:p>
      <w:pPr>
        <w:spacing w:after="120"/>
      </w:pPr>
      <w:r>
        <w:rPr>
          <w:b w:val="0"/>
          <w:i w:val="0"/>
          <w:sz w:val="17"/>
        </w:rPr>
        <w:t>Trecho (via snippet):</w:t>
      </w:r>
    </w:p>
    <w:p>
      <w:pPr>
        <w:spacing w:after="120"/>
      </w:pPr>
      <w:r>
        <w:rPr>
          <w:b w:val="0"/>
          <w:i w:val="0"/>
          <w:color w:val="595959"/>
          <w:sz w:val="17"/>
        </w:rPr>
        <w:t>"The construction of dwellings consumes 100 to 300 tons of aggregates; a building (hospital, school, etc.), 2,000 to 4,000 tons; a kilometer of railroad consumes around 10,000 tons and a kilometer of highway consumes about 30,000 tons."</w:t>
      </w:r>
    </w:p>
    <w:p>
      <w:pPr>
        <w:spacing w:after="120"/>
      </w:pPr>
      <w:r>
        <w:rPr>
          <w:b w:val="0"/>
          <w:i w:val="0"/>
          <w:sz w:val="17"/>
        </w:rPr>
        <w:t>Leitura: há uma SEGUNDA tabela em circulação (residência 100–300 t; edifício 2.000–4.000 t; ferrovia ~10.000 t/km; highway ~30.000 t/km — padrão internacional/UEPG). Não é a tabela do estudo; registrar para evitar contaminação de citações.</w:t>
      </w:r>
    </w:p>
    <w:p>
      <w:pPr>
        <w:spacing w:after="120"/>
      </w:pPr>
      <w:r>
        <w:rPr>
          <w:b w:val="0"/>
          <w:i w:val="0"/>
          <w:sz w:val="17"/>
        </w:rPr>
      </w:r>
    </w:p>
    <w:p>
      <w:pPr>
        <w:spacing w:after="120" w:before="160"/>
      </w:pPr>
      <w:r>
        <w:rPr>
          <w:b/>
          <w:i w:val="0"/>
          <w:sz w:val="22"/>
        </w:rPr>
        <w:t>Seção 2 — Consumo per capita (nacional e regional)</w:t>
      </w:r>
    </w:p>
    <w:p>
      <w:pPr>
        <w:spacing w:after="120"/>
      </w:pPr>
      <w:r>
        <w:rPr>
          <w:b w:val="0"/>
          <w:i w:val="0"/>
          <w:sz w:val="17"/>
        </w:rPr>
        <w:t>### [C11] Série regional com "Sudeste 4,1": Nordeste 2,7 / Norte 3,1 / Sul e Sudeste 4,1 / Centro-Oeste 4,5 t/hab/ano — atribuída à ANEPAC</w:t>
      </w:r>
    </w:p>
    <w:p>
      <w:pPr>
        <w:spacing w:after="120"/>
      </w:pPr>
      <w:r>
        <w:rPr>
          <w:b w:val="0"/>
          <w:i w:val="0"/>
          <w:sz w:val="17"/>
        </w:rPr>
        <w:t>URLs em que a série foi lida pelo buscador:</w:t>
      </w:r>
    </w:p>
    <w:p>
      <w:pPr>
        <w:spacing w:after="120"/>
      </w:pPr>
      <w:r>
        <w:rPr>
          <w:b w:val="0"/>
          <w:i w:val="0"/>
          <w:sz w:val="17"/>
        </w:rPr>
        <w:t>http://www.anepac.org.br/anepac/associadas/mantenedoras/itemlist/user/915-anepac?start=20 (listagem de artigos ANEPAC)</w:t>
      </w:r>
    </w:p>
    <w:p>
      <w:pPr>
        <w:spacing w:after="120"/>
      </w:pPr>
      <w:r>
        <w:rPr>
          <w:b w:val="0"/>
          <w:i w:val="0"/>
          <w:sz w:val="17"/>
        </w:rPr>
        <w:t>https://mineralis.cetem.gov.br/bitstream/cetem/2045/1/Cap%202%20Mercado%20de%20Agregados%20no%20Brasil.pdf (Cap. 2 CETEM, presente no mesmo conjunto de resultados)</w:t>
      </w:r>
    </w:p>
    <w:p>
      <w:pPr>
        <w:spacing w:after="120"/>
      </w:pPr>
      <w:r>
        <w:rPr>
          <w:b w:val="0"/>
          <w:i w:val="0"/>
          <w:sz w:val="17"/>
        </w:rPr>
        <w:t>Trecho (via snippet; sites bloqueados):</w:t>
      </w:r>
    </w:p>
    <w:p>
      <w:pPr>
        <w:spacing w:after="120"/>
      </w:pPr>
      <w:r>
        <w:rPr>
          <w:b w:val="0"/>
          <w:i w:val="0"/>
          <w:color w:val="595959"/>
          <w:sz w:val="17"/>
        </w:rPr>
        <w:t>"There is a significant variation in per capita consumption according to regions in tons/inhabitant/year: 2.7 for the Northeast, 3.1 for the North, 4.1 for the South and Southeast, and 4.5 for the Center-West. This appears to be data from the aggregate sector in Brazil compiled by ANEPAC."</w:t>
      </w:r>
    </w:p>
    <w:p>
      <w:pPr>
        <w:spacing w:after="120"/>
      </w:pPr>
      <w:r>
        <w:rPr>
          <w:b w:val="0"/>
          <w:i w:val="0"/>
          <w:sz w:val="17"/>
        </w:rPr>
        <w:t>Leitura: o 4,1 t/hab/ano do estudo existe e é ANEPAC — mas na fonte o valor é para "SUL E SUDESTE" (agregado das duas regiões), não Sudeste isolado. Registrar essa nuance ao citar. A mesma página ANEPAC traz: "After growth of 6.2% annually from 2000 to 2014, the sector declined about 30% in 2015, with an estimated volume of 519 million tons" (via snippet).</w:t>
      </w:r>
    </w:p>
    <w:p>
      <w:pPr>
        <w:spacing w:after="120"/>
      </w:pPr>
      <w:r>
        <w:rPr>
          <w:b w:val="0"/>
          <w:i w:val="0"/>
          <w:sz w:val="17"/>
        </w:rPr>
        <w:t>### [C12] Nacional ~3,7 t/hab (pico, 2013/2014, ANEPAC) e 741 Mt consumidos</w:t>
      </w:r>
    </w:p>
    <w:p>
      <w:pPr>
        <w:spacing w:after="120"/>
      </w:pPr>
      <w:r>
        <w:rPr>
          <w:b w:val="0"/>
          <w:i w:val="0"/>
          <w:sz w:val="17"/>
        </w:rPr>
        <w:t>URLs: https://anepac.org.br/mercado/ (e espelho https://www.anepac.org.br/agregados/mercado); http://www.sindibrita.org.br/noticia_2014_12_19-02.html</w:t>
      </w:r>
    </w:p>
    <w:p>
      <w:pPr>
        <w:spacing w:after="120"/>
      </w:pPr>
      <w:r>
        <w:rPr>
          <w:b w:val="0"/>
          <w:i w:val="0"/>
          <w:sz w:val="17"/>
        </w:rPr>
        <w:t>Trechos (via snippet; sites bloqueados):</w:t>
      </w:r>
    </w:p>
    <w:p>
      <w:pPr>
        <w:spacing w:after="120"/>
      </w:pPr>
      <w:r>
        <w:rPr>
          <w:b w:val="0"/>
          <w:i w:val="0"/>
          <w:color w:val="595959"/>
          <w:sz w:val="17"/>
        </w:rPr>
        <w:t>"The per capita consumption was 3.7 tons/inhabitant/year, according to ANEPAC data… In 2014, the annual consumption of gravel and sand in Brazil was around 3.7 tons per inhabitant."</w:t>
      </w:r>
    </w:p>
    <w:p>
      <w:pPr>
        <w:spacing w:after="120"/>
      </w:pPr>
      <w:r>
        <w:rPr>
          <w:b w:val="0"/>
          <w:i w:val="0"/>
          <w:color w:val="595959"/>
          <w:sz w:val="17"/>
        </w:rPr>
        <w:t>"741 million tons were consumed in Brazil, corresponding to 3.7 tons per capita."</w:t>
      </w:r>
    </w:p>
    <w:p>
      <w:pPr>
        <w:spacing w:after="120"/>
      </w:pPr>
      <w:r>
        <w:rPr>
          <w:b w:val="0"/>
          <w:i w:val="0"/>
          <w:sz w:val="17"/>
        </w:rPr>
        <w:t>Leitura: o teto nacional da série ANEPAC é ~3,7 t/hab (2013/2014; 741 Mt consumidos — ver variante 745/770 Mt em [C17]).</w:t>
      </w:r>
    </w:p>
    <w:p>
      <w:pPr>
        <w:spacing w:after="120"/>
      </w:pPr>
      <w:r>
        <w:rPr>
          <w:b w:val="0"/>
          <w:i w:val="0"/>
          <w:sz w:val="17"/>
        </w:rPr>
        <w:t>### [C13] Nacional recente 3,3–3,5 t/hab e comparações internacionais</w:t>
      </w:r>
    </w:p>
    <w:p>
      <w:pPr>
        <w:spacing w:after="120"/>
      </w:pPr>
      <w:r>
        <w:rPr>
          <w:b w:val="0"/>
          <w:i w:val="0"/>
          <w:sz w:val="17"/>
        </w:rPr>
        <w:t>URLs: https://www.brasilmineral.com.br/noticias/setor-de-agregados-busca-protagonismo-na-mineracao-brasileira ; https://www.mtexpo.com.br/blog/demanda-global-por-areia-e-agregados-tende-a-subir-45-ate-2060/</w:t>
      </w:r>
    </w:p>
    <w:p>
      <w:pPr>
        <w:spacing w:after="120"/>
      </w:pPr>
      <w:r>
        <w:rPr>
          <w:b w:val="0"/>
          <w:i w:val="0"/>
          <w:sz w:val="17"/>
        </w:rPr>
        <w:t>Trecho (via snippet):</w:t>
      </w:r>
    </w:p>
    <w:p>
      <w:pPr>
        <w:spacing w:after="120"/>
      </w:pPr>
      <w:r>
        <w:rPr>
          <w:b w:val="0"/>
          <w:i w:val="0"/>
          <w:color w:val="595959"/>
          <w:sz w:val="17"/>
        </w:rPr>
        <w:t>"The Brazilian per capita consumption is only 3.3 to 3.5 tons per inhabitant… More developed countries like the USA (9 t/hab), China (12 t/hab) and Finland (17 t/hab) presented much more expressive data."</w:t>
      </w:r>
    </w:p>
    <w:p>
      <w:pPr>
        <w:spacing w:after="120"/>
      </w:pPr>
      <w:r>
        <w:rPr>
          <w:b w:val="0"/>
          <w:i w:val="0"/>
          <w:sz w:val="17"/>
        </w:rPr>
        <w:t>Leitura: faixa recente nacional 3,3–3,5 t/hab (imprensa setorial citando ANEPAC), com benchmarks EUA 9 / China 12 / Finlândia 17 t/hab.</w:t>
      </w:r>
    </w:p>
    <w:p>
      <w:pPr>
        <w:spacing w:after="120"/>
      </w:pPr>
      <w:r>
        <w:rPr>
          <w:b w:val="0"/>
          <w:i w:val="0"/>
          <w:sz w:val="17"/>
        </w:rPr>
        <w:t>### [C14] Nacional ~2 t/hab por volta de 2000</w:t>
      </w:r>
    </w:p>
    <w:p>
      <w:pPr>
        <w:spacing w:after="120"/>
      </w:pPr>
      <w:r>
        <w:rPr>
          <w:b w:val="0"/>
          <w:i w:val="0"/>
          <w:sz w:val="17"/>
        </w:rPr>
        <w:t>URLs: https://demin.ufmg.br/downloadtcc.php?f=6 ("O mercado de agregados para a construção civil no Brasil", TCC Eng. Minas UFMG) ; https://anepac.org.br/mercado/</w:t>
      </w:r>
    </w:p>
    <w:p>
      <w:pPr>
        <w:spacing w:after="120"/>
      </w:pPr>
      <w:r>
        <w:rPr>
          <w:b w:val="0"/>
          <w:i w:val="0"/>
          <w:sz w:val="17"/>
        </w:rPr>
        <w:t>Trecho (via snippet):</w:t>
      </w:r>
    </w:p>
    <w:p>
      <w:pPr>
        <w:spacing w:after="120"/>
      </w:pPr>
      <w:r>
        <w:rPr>
          <w:b w:val="0"/>
          <w:i w:val="0"/>
          <w:color w:val="595959"/>
          <w:sz w:val="17"/>
        </w:rPr>
        <w:t>"In the year 2000, Brazil's registered aggregate production corresponded to a per capita consumption of approximately 2 tons per inhabitant."</w:t>
      </w:r>
    </w:p>
    <w:p>
      <w:pPr>
        <w:spacing w:after="120"/>
      </w:pPr>
      <w:r>
        <w:rPr>
          <w:b w:val="0"/>
          <w:i w:val="0"/>
          <w:sz w:val="17"/>
        </w:rPr>
        <w:t>Leitura: âncora do piso histórico (~2 t/hab em 2000). O valor "2,2 t/hab" exato citado no estudo NÃO foi localizado verbatim em nenhum snippet (lacuna); o que se fixa é ~2 (2000) → 3,7 (2013/14) → 3,3–3,5 (recente).</w:t>
      </w:r>
    </w:p>
    <w:p>
      <w:pPr>
        <w:spacing w:after="120"/>
      </w:pPr>
      <w:r>
        <w:rPr>
          <w:b w:val="0"/>
          <w:i w:val="0"/>
          <w:sz w:val="17"/>
        </w:rPr>
        <w:t>### [C15] Comparações internacionais na linhagem oficial (Balanço Mineral 2001)</w:t>
      </w:r>
    </w:p>
    <w:p>
      <w:pPr>
        <w:spacing w:after="120"/>
      </w:pPr>
      <w:r>
        <w:rPr>
          <w:b w:val="0"/>
          <w:i w:val="0"/>
          <w:sz w:val="17"/>
        </w:rPr>
        <w:t>URL: https://www.gov.br/anm/pt-br/centrais-de-conteudos/anm/publicacoes-economia-mineral/arquivos/agregados-para-contrucao-civil.pdf</w:t>
      </w:r>
    </w:p>
    <w:p>
      <w:pPr>
        <w:spacing w:after="120"/>
      </w:pPr>
      <w:r>
        <w:rPr>
          <w:b w:val="0"/>
          <w:i w:val="0"/>
          <w:sz w:val="17"/>
        </w:rPr>
        <w:t>Trecho (via snippet; site bloqueado):</w:t>
      </w:r>
    </w:p>
    <w:p>
      <w:pPr>
        <w:spacing w:after="120"/>
      </w:pPr>
      <w:r>
        <w:rPr>
          <w:b w:val="0"/>
          <w:i w:val="0"/>
          <w:color w:val="595959"/>
          <w:sz w:val="17"/>
        </w:rPr>
        <w:t>"In Western Europe, aggregate consumption per inhabitant varies from 5,000 kg to 8,000 kg, and in Canada, specifically in Ontario province in the 1980s, consumption reached 15 tons per inhabitant."</w:t>
      </w:r>
    </w:p>
    <w:p>
      <w:pPr>
        <w:spacing w:after="120"/>
      </w:pPr>
      <w:r>
        <w:rPr>
          <w:b w:val="0"/>
          <w:i w:val="0"/>
          <w:sz w:val="17"/>
        </w:rPr>
        <w:t>Leitura: o Balanço 2001 já usava per capita como indicador (Europa Ocidental 5–8 t/hab; Ontário 15 t/hab) — útil para contextualizar o 4,1 regional.</w:t>
      </w:r>
    </w:p>
    <w:p>
      <w:pPr>
        <w:spacing w:after="120"/>
      </w:pPr>
      <w:r>
        <w:rPr>
          <w:b w:val="0"/>
          <w:i w:val="0"/>
          <w:sz w:val="17"/>
        </w:rPr>
        <w:t>### [C16] Evolução do consumo nacional 1995→2000 (contexto da série per capita)</w:t>
      </w:r>
    </w:p>
    <w:p>
      <w:pPr>
        <w:spacing w:after="120"/>
      </w:pPr>
      <w:r>
        <w:rPr>
          <w:b w:val="0"/>
          <w:i w:val="0"/>
          <w:sz w:val="17"/>
        </w:rPr>
        <w:t>URL: https://anepac.org.br/mercado/</w:t>
      </w:r>
    </w:p>
    <w:p>
      <w:pPr>
        <w:spacing w:after="120"/>
      </w:pPr>
      <w:r>
        <w:rPr>
          <w:b w:val="0"/>
          <w:i w:val="0"/>
          <w:sz w:val="17"/>
        </w:rPr>
        <w:t>Trecho (via snippet; site bloqueado):</w:t>
      </w:r>
    </w:p>
    <w:p>
      <w:pPr>
        <w:spacing w:after="120"/>
      </w:pPr>
      <w:r>
        <w:rPr>
          <w:b w:val="0"/>
          <w:i w:val="0"/>
          <w:color w:val="595959"/>
          <w:sz w:val="17"/>
        </w:rPr>
        <w:t>"From 1995 to 2000, aggregate consumption jumped from a level of 190 to 400 million tons."</w:t>
      </w:r>
    </w:p>
    <w:p>
      <w:pPr>
        <w:spacing w:after="120"/>
      </w:pPr>
      <w:r>
        <w:rPr>
          <w:b w:val="0"/>
          <w:i w:val="0"/>
          <w:color w:val="595959"/>
          <w:sz w:val="17"/>
        </w:rPr>
        <w:t>"From 1960 to 1980, demand for aggregates jumped from 25 million to 153 million tons."</w:t>
      </w:r>
    </w:p>
    <w:p>
      <w:pPr>
        <w:spacing w:after="120"/>
      </w:pPr>
      <w:r>
        <w:rPr>
          <w:b w:val="0"/>
          <w:i w:val="0"/>
          <w:sz w:val="17"/>
        </w:rPr>
        <w:t>Leitura: série histórica ANEPAC da página Mercado — base para qualquer per capita retroativo.</w:t>
      </w:r>
    </w:p>
    <w:p>
      <w:pPr>
        <w:spacing w:after="120"/>
      </w:pPr>
      <w:r>
        <w:rPr>
          <w:b w:val="0"/>
          <w:i w:val="0"/>
          <w:sz w:val="17"/>
        </w:rPr>
      </w:r>
    </w:p>
    <w:p>
      <w:pPr>
        <w:spacing w:after="120" w:before="160"/>
      </w:pPr>
      <w:r>
        <w:rPr>
          <w:b/>
          <w:i w:val="0"/>
          <w:sz w:val="22"/>
        </w:rPr>
        <w:t>Seção 3 — Participação da brita no total de agregados</w:t>
      </w:r>
    </w:p>
    <w:p>
      <w:pPr>
        <w:spacing w:after="120"/>
      </w:pPr>
      <w:r>
        <w:rPr>
          <w:b w:val="0"/>
          <w:i w:val="0"/>
          <w:sz w:val="17"/>
        </w:rPr>
        <w:t>### [C17] Pares produção brita/areia localizados e razões calculadas</w:t>
      </w:r>
    </w:p>
    <w:p>
      <w:pPr>
        <w:spacing w:after="120"/>
      </w:pPr>
      <w:r>
        <w:rPr>
          <w:b w:val="0"/>
          <w:i w:val="0"/>
          <w:sz w:val="17"/>
        </w:rPr>
        <w:t>Fontes e trechos (todos via snippet; sites bloqueados):</w:t>
      </w:r>
    </w:p>
    <w:p>
      <w:pPr>
        <w:spacing w:after="120"/>
      </w:pPr>
      <w:r>
        <w:rPr>
          <w:b w:val="0"/>
          <w:i w:val="0"/>
          <w:sz w:val="17"/>
        </w:rPr>
        <w:t>2013: URL https://www.cimentoitambe.com.br/mineradores-de-areia-tentam-reinventar-mercado/ (citando ANEPAC/Sindipedras-SP):</w:t>
      </w:r>
    </w:p>
    <w:p>
      <w:pPr>
        <w:spacing w:after="120"/>
      </w:pPr>
      <w:r>
        <w:rPr>
          <w:b w:val="0"/>
          <w:i w:val="0"/>
          <w:color w:val="595959"/>
          <w:sz w:val="17"/>
        </w:rPr>
        <w:t>"In 2013… the production of aggregates (sand and crushed stone combined) reached approximately 770 million tonnes (456 million tonnes of sand and 314 million tonnes of crushed stone), representing a 7.59% increase compared to 2012."</w:t>
      </w:r>
    </w:p>
    <w:p>
      <w:pPr>
        <w:spacing w:after="120"/>
      </w:pPr>
      <w:r>
        <w:rPr>
          <w:b w:val="0"/>
          <w:i w:val="0"/>
          <w:sz w:val="17"/>
        </w:rPr>
        <w:t>→ brita 314/770 = 40,8%. (Variante de total 2013: 745 Mt em https://anepac.org.br/mercado/ — "reaching 745 million tons in 2013"; e 741 Mt em [C12]. Registrar as três: 741/745/770.)</w:t>
      </w:r>
    </w:p>
    <w:p>
      <w:pPr>
        <w:spacing w:after="120"/>
      </w:pPr>
      <w:r>
        <w:rPr>
          <w:b w:val="0"/>
          <w:i w:val="0"/>
          <w:sz w:val="17"/>
        </w:rPr>
        <w:t>2020: URL https://revistamt.com.br/Materias/Exibir/o-termometro-da-construcao (Revista M&amp;T):</w:t>
      </w:r>
    </w:p>
    <w:p>
      <w:pPr>
        <w:spacing w:after="120"/>
      </w:pPr>
      <w:r>
        <w:rPr>
          <w:b w:val="0"/>
          <w:i w:val="0"/>
          <w:color w:val="595959"/>
          <w:sz w:val="17"/>
        </w:rPr>
        <w:t>"In 2020, Brazil moved 605 million tons of aggregates, with 353 million tons of sand and 252 million tons of crushed stone."</w:t>
      </w:r>
    </w:p>
    <w:p>
      <w:pPr>
        <w:spacing w:after="120"/>
      </w:pPr>
      <w:r>
        <w:rPr>
          <w:b w:val="0"/>
          <w:i w:val="0"/>
          <w:sz w:val="17"/>
        </w:rPr>
        <w:t>→ brita 252/605 = 41,65%. (Mesma matéria: estimativa 2021 = 656 Mt, +9%.)</w:t>
      </w:r>
    </w:p>
    <w:p>
      <w:pPr>
        <w:spacing w:after="120"/>
      </w:pPr>
      <w:r>
        <w:rPr>
          <w:b w:val="0"/>
          <w:i w:val="0"/>
          <w:sz w:val="17"/>
        </w:rPr>
        <w:t>2022: URLs https://anepac.org.br/mercado/ e https://www.mtexpo.com.br/blog/demanda-global-por-areia-e-agregados-tende-a-subir-45-ate-2060/ :</w:t>
      </w:r>
    </w:p>
    <w:p>
      <w:pPr>
        <w:spacing w:after="120"/>
      </w:pPr>
      <w:r>
        <w:rPr>
          <w:b w:val="0"/>
          <w:i w:val="0"/>
          <w:color w:val="595959"/>
          <w:sz w:val="17"/>
        </w:rPr>
        <w:t>"In 2022, the aggregates market supplied 640 million tons of aggregates, consisting of 374 million tons of sand and 266 million tons of gravel [brita]."</w:t>
      </w:r>
    </w:p>
    <w:p>
      <w:pPr>
        <w:spacing w:after="120"/>
      </w:pPr>
      <w:r>
        <w:rPr>
          <w:b w:val="0"/>
          <w:i w:val="0"/>
          <w:sz w:val="17"/>
        </w:rPr>
        <w:t>→ brita 266/640 = 41,56%.</w:t>
      </w:r>
    </w:p>
    <w:p>
      <w:pPr>
        <w:spacing w:after="120"/>
      </w:pPr>
      <w:r>
        <w:rPr>
          <w:b w:val="0"/>
          <w:i w:val="0"/>
          <w:sz w:val="17"/>
        </w:rPr>
        <w:t>2023: URL https://www.brasilmineral.com.br/noticias/com-producao-de-r-34-bilhoes-setor-de-agregados-comemora-2022 (e matérias correlatas Brasil Mineral):</w:t>
      </w:r>
    </w:p>
    <w:p>
      <w:pPr>
        <w:spacing w:after="120"/>
      </w:pPr>
      <w:r>
        <w:rPr>
          <w:b w:val="0"/>
          <w:i w:val="0"/>
          <w:color w:val="595959"/>
          <w:sz w:val="17"/>
        </w:rPr>
        <w:t>"In 2023, the aggregates sector in Brazil showed 'modest' performance with only 3% growth, reaching 654 million tons, consisting of 272 million tons of crushed stone and 382 million tons of sand."</w:t>
      </w:r>
    </w:p>
    <w:p>
      <w:pPr>
        <w:spacing w:after="120"/>
      </w:pPr>
      <w:r>
        <w:rPr>
          <w:b w:val="0"/>
          <w:i w:val="0"/>
          <w:sz w:val="17"/>
        </w:rPr>
        <w:t>→ brita 272/654 = 41,59%.</w:t>
      </w:r>
    </w:p>
    <w:p>
      <w:pPr>
        <w:spacing w:after="120"/>
      </w:pPr>
      <w:r>
        <w:rPr>
          <w:b w:val="0"/>
          <w:i w:val="0"/>
          <w:sz w:val="17"/>
        </w:rPr>
        <w:t>Leitura: a participação da brita é estável em ~40,8–41,7% na série ANEPAC. O 41,6% do estudo é exatamente o valor de 2022 (266/640 = 41,56%) e de 2023 (41,59%) — o melhor par para citar é 2022: 374 Mt areia + 266 Mt brita = 640 Mt (ANEPAC, página Mercado), corroborado por 2023 e 2020.</w:t>
      </w:r>
    </w:p>
    <w:p>
      <w:pPr>
        <w:spacing w:after="120"/>
      </w:pPr>
      <w:r>
        <w:rPr>
          <w:b w:val="0"/>
          <w:i w:val="0"/>
          <w:sz w:val="17"/>
        </w:rPr>
        <w:t>### [C18] Estrutura do setor (contexto do par areia/brita)</w:t>
      </w:r>
    </w:p>
    <w:p>
      <w:pPr>
        <w:spacing w:after="120"/>
      </w:pPr>
      <w:r>
        <w:rPr>
          <w:b w:val="0"/>
          <w:i w:val="0"/>
          <w:sz w:val="17"/>
        </w:rPr>
        <w:t>URLs: https://anepac.org.br/mercado/ ; http://recursomineralmg.codemge.com.br/substancias-minerais/recursos-construcao-civil/</w:t>
      </w:r>
    </w:p>
    <w:p>
      <w:pPr>
        <w:spacing w:after="120"/>
      </w:pPr>
      <w:r>
        <w:rPr>
          <w:b w:val="0"/>
          <w:i w:val="0"/>
          <w:sz w:val="17"/>
        </w:rPr>
        <w:t>Trechos (via snippet; sites bloqueados):</w:t>
      </w:r>
    </w:p>
    <w:p>
      <w:pPr>
        <w:spacing w:after="120"/>
      </w:pPr>
      <w:r>
        <w:rPr>
          <w:b w:val="0"/>
          <w:i w:val="0"/>
          <w:color w:val="595959"/>
          <w:sz w:val="17"/>
        </w:rPr>
        <w:t>"The Brazilian sand and crushed stone market is served by approximately 3,100 companies: 600 producing crushed stone and 2,500 extracting sand, generating 75,000 direct jobs."</w:t>
      </w:r>
    </w:p>
    <w:p>
      <w:pPr>
        <w:spacing w:after="120"/>
      </w:pPr>
      <w:r>
        <w:rPr>
          <w:b w:val="0"/>
          <w:i w:val="0"/>
          <w:color w:val="595959"/>
          <w:sz w:val="17"/>
        </w:rPr>
        <w:t>"Approximately 35% of sand production is intended for mortar preparation, 20% for concrete manufacturing, 15% for contractors, 10% for prefabricated products, 10% for resellers…, 5% for pavers/asphalt plants…" (CODEMGE)</w:t>
      </w:r>
    </w:p>
    <w:p>
      <w:pPr>
        <w:spacing w:after="120"/>
      </w:pPr>
      <w:r>
        <w:rPr>
          <w:b w:val="0"/>
          <w:i w:val="0"/>
          <w:color w:val="595959"/>
          <w:sz w:val="17"/>
        </w:rPr>
        <w:t>"Aggregate production reached a record of 631 million tons in 2010." (CODEMGE; RMBH = 2º maior polo produtor do país, 12% da produção nacional)</w:t>
      </w:r>
    </w:p>
    <w:p>
      <w:pPr>
        <w:spacing w:after="120"/>
      </w:pPr>
      <w:r>
        <w:rPr>
          <w:b w:val="0"/>
          <w:i w:val="0"/>
          <w:sz w:val="17"/>
        </w:rPr>
        <w:t>Leitura: CODEMGE ("Recursos para construção civil") confirma-se como replicadora de dados ANEPAC/DNPM (631 Mt em 2010; destinos da areia), sem trazer a tabela de obras nos snippets obtidos.</w:t>
      </w:r>
    </w:p>
    <w:p>
      <w:pPr>
        <w:spacing w:after="120"/>
      </w:pPr>
      <w:r>
        <w:rPr>
          <w:b w:val="0"/>
          <w:i w:val="0"/>
          <w:sz w:val="17"/>
        </w:rPr>
        <w:t>### [C19] Mercados de destino dos agregados (ANEPAC)</w:t>
      </w:r>
    </w:p>
    <w:p>
      <w:pPr>
        <w:spacing w:after="120"/>
      </w:pPr>
      <w:r>
        <w:rPr>
          <w:b w:val="0"/>
          <w:i w:val="0"/>
          <w:sz w:val="17"/>
        </w:rPr>
        <w:t>URL: https://anepac.org.br/mercado/</w:t>
      </w:r>
    </w:p>
    <w:p>
      <w:pPr>
        <w:spacing w:after="120"/>
      </w:pPr>
      <w:r>
        <w:rPr>
          <w:b w:val="0"/>
          <w:i w:val="0"/>
          <w:sz w:val="17"/>
        </w:rPr>
        <w:t>Trecho (via snippet; site bloqueado):</w:t>
      </w:r>
    </w:p>
    <w:p>
      <w:pPr>
        <w:spacing w:after="120"/>
      </w:pPr>
      <w:r>
        <w:rPr>
          <w:b w:val="0"/>
          <w:i w:val="0"/>
          <w:color w:val="595959"/>
          <w:sz w:val="17"/>
        </w:rPr>
        <w:t>"The potential markets for aggregates include: Concretos (40%), Argamassas (36%), and Pavimentação e infraestrutura (24%)."</w:t>
      </w:r>
    </w:p>
    <w:p>
      <w:pPr>
        <w:spacing w:after="120"/>
      </w:pPr>
      <w:r>
        <w:rPr>
          <w:b w:val="0"/>
          <w:i w:val="0"/>
          <w:sz w:val="17"/>
        </w:rPr>
        <w:t>Leitura: partição de demanda por uso (concreto 40% / argamassa 36% / pavimentação 24%) — útil se o estudo precisar defender o recorte de pavimentação.</w:t>
      </w:r>
    </w:p>
    <w:p>
      <w:pPr>
        <w:spacing w:after="120"/>
      </w:pPr>
      <w:r>
        <w:rPr>
          <w:b w:val="0"/>
          <w:i w:val="0"/>
          <w:sz w:val="17"/>
        </w:rPr>
      </w:r>
    </w:p>
    <w:p>
      <w:pPr>
        <w:spacing w:after="120" w:before="160"/>
      </w:pPr>
      <w:r>
        <w:rPr>
          <w:b/>
          <w:i w:val="0"/>
          <w:sz w:val="22"/>
        </w:rPr>
        <w:t>Seção 4 — SICRO/DNIT</w:t>
      </w:r>
    </w:p>
    <w:p>
      <w:pPr>
        <w:spacing w:after="120"/>
      </w:pPr>
      <w:r>
        <w:rPr>
          <w:b w:val="0"/>
          <w:i w:val="0"/>
          <w:sz w:val="17"/>
        </w:rPr>
        <w:t>### [C20] O que é o SICRO — definição e caráter oficial</w:t>
      </w:r>
    </w:p>
    <w:p>
      <w:pPr>
        <w:spacing w:after="120"/>
      </w:pPr>
      <w:r>
        <w:rPr>
          <w:b w:val="0"/>
          <w:i w:val="0"/>
          <w:sz w:val="17"/>
        </w:rPr>
        <w:t>URLs:</w:t>
      </w:r>
    </w:p>
    <w:p>
      <w:pPr>
        <w:spacing w:after="120"/>
      </w:pPr>
      <w:r>
        <w:rPr>
          <w:b w:val="0"/>
          <w:i w:val="0"/>
          <w:sz w:val="17"/>
        </w:rPr>
        <w:t>Oficial (gov.br/DNIT): https://www.gov.br/dnit/pt-br/assuntos/planejamento-e-pesquisa/custos-referenciais/sistemas-de-custos/sicro/ (evidenciada pelo documento indexado "SISTEMA DE CUSTOS REFERENCIAIS DE OBRAS - SICRO Relatório de Ocorrências", https://www.gov.br/dnit/pt-br/assuntos/planejamento-e-pesquisa/custos-referenciais/sistemas-de-custos/sicro/relatorios/relatorio-de-ocorrencias-do-sicro-1/relatorio-de-ocorrencias-sicro-ref-jul-2025_ccr.pdf)</w:t>
      </w:r>
    </w:p>
    <w:p>
      <w:pPr>
        <w:spacing w:after="120"/>
      </w:pPr>
      <w:r>
        <w:rPr>
          <w:b w:val="0"/>
          <w:i w:val="0"/>
          <w:sz w:val="17"/>
        </w:rPr>
        <w:t>Descritiva: https://www.orcafascio.com/papodeengenheiro/sicro</w:t>
      </w:r>
    </w:p>
    <w:p>
      <w:pPr>
        <w:spacing w:after="120"/>
      </w:pPr>
      <w:r>
        <w:rPr>
          <w:b w:val="0"/>
          <w:i w:val="0"/>
          <w:sz w:val="17"/>
        </w:rPr>
        <w:t>Trecho (via snippet):</w:t>
      </w:r>
    </w:p>
    <w:p>
      <w:pPr>
        <w:spacing w:after="120"/>
      </w:pPr>
      <w:r>
        <w:rPr>
          <w:b w:val="0"/>
          <w:i w:val="0"/>
          <w:color w:val="595959"/>
          <w:sz w:val="17"/>
        </w:rPr>
        <w:t>"SICRO é o Sistema de Custos Referenciais de Obras, mantido pelo DNIT, e reúne composições, insumos, metodologias e parâmetros usados como referência para orçamentos de obras e serviços de infraestrutura de transportes."</w:t>
      </w:r>
    </w:p>
    <w:p>
      <w:pPr>
        <w:spacing w:after="120"/>
      </w:pPr>
      <w:r>
        <w:rPr>
          <w:b w:val="0"/>
          <w:i w:val="0"/>
          <w:color w:val="595959"/>
          <w:sz w:val="17"/>
        </w:rPr>
        <w:t>"Em decorrência da publicação da Norma DNIT 031/2024-ES - Pavimentação - Concreto asfáltico, tornou-se necessária a alteração de composições de custos do grupo de serviços de pavimentação."</w:t>
      </w:r>
    </w:p>
    <w:p>
      <w:pPr>
        <w:spacing w:after="120"/>
      </w:pPr>
      <w:r>
        <w:rPr>
          <w:b w:val="0"/>
          <w:i w:val="0"/>
          <w:sz w:val="17"/>
        </w:rPr>
        <w:t>Leitura: confirmado — SICRO = Sistema de Custos Referenciais de Obras do DNIT, oficial, com composições específicas de pavimentação (grupo de serviços atualizado pela Norma DNIT 031/2024-ES). Serve como âncora normativa para coeficientes físicos por serviço.</w:t>
      </w:r>
    </w:p>
    <w:p>
      <w:pPr>
        <w:spacing w:after="120"/>
      </w:pPr>
      <w:r>
        <w:rPr>
          <w:b w:val="0"/>
          <w:i w:val="0"/>
          <w:sz w:val="17"/>
        </w:rPr>
      </w:r>
    </w:p>
    <w:p>
      <w:pPr>
        <w:spacing w:after="120" w:before="160"/>
      </w:pPr>
      <w:r>
        <w:rPr>
          <w:b/>
          <w:i w:val="0"/>
          <w:sz w:val="22"/>
        </w:rPr>
        <w:t>Seção 5 — Consumo por m² de pavimentação urbana completa</w:t>
      </w:r>
    </w:p>
    <w:p>
      <w:pPr>
        <w:spacing w:after="120"/>
      </w:pPr>
      <w:r>
        <w:rPr>
          <w:b w:val="0"/>
          <w:i w:val="0"/>
          <w:sz w:val="17"/>
        </w:rPr>
        <w:t>### [C21] Ausência de coeficiente público em t/m²; âncoras mais próximas</w:t>
      </w:r>
    </w:p>
    <w:p>
      <w:pPr>
        <w:spacing w:after="120"/>
      </w:pPr>
      <w:r>
        <w:rPr>
          <w:b w:val="0"/>
          <w:i w:val="0"/>
          <w:sz w:val="17"/>
        </w:rPr>
        <w:t>URLs mais próximas encontradas:</w:t>
      </w:r>
    </w:p>
    <w:p>
      <w:pPr>
        <w:spacing w:after="120"/>
      </w:pPr>
      <w:r>
        <w:rPr>
          <w:b w:val="0"/>
          <w:i w:val="0"/>
          <w:sz w:val="17"/>
        </w:rPr>
        <w:t>SINAPI 104430 (piso intertravado drenante, por m²): https://orcamentor.com/composicao/104430/</w:t>
      </w:r>
    </w:p>
    <w:p>
      <w:pPr>
        <w:spacing w:after="120"/>
      </w:pPr>
      <w:r>
        <w:rPr>
          <w:b w:val="0"/>
          <w:i w:val="0"/>
          <w:sz w:val="17"/>
        </w:rPr>
        <w:t>SINAPI 92397 (piso intertravado retangular, por m²): https://buscadorsinapi.com.br/rj/composicao/92397-execucao-de-pavimento-em-piso-intertravado-com-bloco-retangu</w:t>
      </w:r>
    </w:p>
    <w:p>
      <w:pPr>
        <w:spacing w:after="120"/>
      </w:pPr>
      <w:r>
        <w:rPr>
          <w:b w:val="0"/>
          <w:i w:val="0"/>
          <w:sz w:val="17"/>
        </w:rPr>
        <w:t>Espessuras normativas de camadas: notas técnicas citando DNIT 139/2010-ES e 141/2010-ES (ex.: https://ufsj.edu.br/portal2-repositorio/File/ccivi/TCC-04_2022_2_Joseane_e_Rhully.pdf)</w:t>
      </w:r>
    </w:p>
    <w:p>
      <w:pPr>
        <w:spacing w:after="120"/>
      </w:pPr>
      <w:r>
        <w:rPr>
          <w:b w:val="0"/>
          <w:i w:val="0"/>
          <w:sz w:val="17"/>
        </w:rPr>
        <w:t>Trechos (via snippet):</w:t>
      </w:r>
    </w:p>
    <w:p>
      <w:pPr>
        <w:spacing w:after="120"/>
      </w:pPr>
      <w:r>
        <w:rPr>
          <w:b w:val="0"/>
          <w:i w:val="0"/>
          <w:color w:val="595959"/>
          <w:sz w:val="17"/>
        </w:rPr>
        <w:t>"SINAPI 104430: EXECUÇÃO DE PAVIMENTO EM PISO INTERTRAVADO, COM BLOCO DE CONCRETO PERMEÁVEL (DRENANTE) 16 FACES DE 22 X 11 CM, ESPESSURA 6 CM. AF_10/2022"</w:t>
      </w:r>
    </w:p>
    <w:p>
      <w:pPr>
        <w:spacing w:after="120"/>
      </w:pPr>
      <w:r>
        <w:rPr>
          <w:b w:val="0"/>
          <w:i w:val="0"/>
          <w:color w:val="595959"/>
          <w:sz w:val="17"/>
        </w:rPr>
        <w:t>"According to DNIT standards 139/2010-ES and 141/2010-ES, the thickness of compacted base and sub-base layers should not be less than 10 cm nor more than 20 cm."</w:t>
      </w:r>
    </w:p>
    <w:p>
      <w:pPr>
        <w:spacing w:after="120"/>
      </w:pPr>
      <w:r>
        <w:rPr>
          <w:b w:val="0"/>
          <w:i w:val="0"/>
          <w:color w:val="595959"/>
          <w:sz w:val="17"/>
        </w:rPr>
        <w:t>"For the rectangular model (10x20 cm)… you use 50 pieces per square meter… Sub-base and drainage base with washed gravel and adequate granulometry."</w:t>
      </w:r>
    </w:p>
    <w:p>
      <w:pPr>
        <w:spacing w:after="120"/>
      </w:pPr>
      <w:r>
        <w:rPr>
          <w:b w:val="0"/>
          <w:i w:val="0"/>
          <w:sz w:val="17"/>
        </w:rPr>
        <w:t>Leitura: NÃO existe (no material indexado localizável por busca) uma referência pública que dê "t de agregados por m² de urbanização completa" (pista + drenagem + calçada + intertravado). O que existe: (i) composições SINAPI/SICRO por m² de cada serviço (permitem derivar o coeficiente, mas exigem cálculo próprio); (ii) espessuras normativas DNIT de base/sub-base (10–20 cm), que implicam ~0,2–0,4 t/m² só de base/sub-base compactada (inferência, não citação). A linha setorial de 0,20–0,33 t/m² (2.000–3.250 t/km ÷ 10.000 m²/km) segue sendo a única referência publicada — e ela cobre apenas a pista simples.</w:t>
      </w:r>
    </w:p>
    <w:p>
      <w:pPr>
        <w:spacing w:after="120"/>
      </w:pPr>
      <w:r>
        <w:rPr>
          <w:b w:val="0"/>
          <w:i w:val="0"/>
          <w:sz w:val="17"/>
        </w:rPr>
      </w:r>
    </w:p>
    <w:p>
      <w:pPr>
        <w:spacing w:after="120" w:before="160"/>
      </w:pPr>
      <w:r>
        <w:rPr>
          <w:b/>
          <w:i w:val="0"/>
          <w:sz w:val="22"/>
        </w:rPr>
        <w:t>Lacunas</w:t>
      </w:r>
    </w:p>
    <w:p>
      <w:pPr>
        <w:spacing w:after="120"/>
      </w:pPr>
      <w:r>
        <w:rPr>
          <w:b w:val="0"/>
          <w:i w:val="0"/>
          <w:sz w:val="17"/>
        </w:rPr>
        <w:t>1. WebFetch integralmente bloqueado, inclusive a exceção autorizada (blob Azure da FIESP) — nenhuma página pôde ser aberta; todas as evidências são snippets/leituras do buscador com URL identificada.</w:t>
      </w:r>
    </w:p>
    <w:p>
      <w:pPr>
        <w:spacing w:after="120"/>
      </w:pPr>
      <w:r>
        <w:rPr>
          <w:b w:val="0"/>
          <w:i w:val="0"/>
          <w:sz w:val="17"/>
        </w:rPr>
        <w:t>2. Trecho literal palavra a palavra da apresentação do Senado [C01] não capturado — as duas leituras do buscador confirmam 50.000 (metrô) e 3.000 (manutenção) atreladas àquela URL, mas houve uma leitura divergente rotulando 9.800 como "road maintenance"; a tabela slide a slide foi recuperada pelo espelho SlidePlayer [C02].</w:t>
      </w:r>
    </w:p>
    <w:p>
      <w:pPr>
        <w:spacing w:after="120"/>
      </w:pPr>
      <w:r>
        <w:rPr>
          <w:b w:val="0"/>
          <w:i w:val="0"/>
          <w:sz w:val="17"/>
        </w:rPr>
        <w:t>3. "9.800" não aparece nas páginas ANM/gov.br localizáveis — a linhagem oficial ANM (página "Agregados para a Construção Civil") traz 9.500 t/km; o 9.800 está no documento CPRM/SGB [C05], no artigo do Catálogo de Mineração [C06] e (por leitura do buscador) na linhagem Sumário Mineral/Senado. Se o estudo cita 9.800 "conforme ANM", há imprecisão — o seguro é citar ANEPAC/Valverde (Senado 2009) ou CPRM.</w:t>
      </w:r>
    </w:p>
    <w:p>
      <w:pPr>
        <w:spacing w:after="120"/>
      </w:pPr>
      <w:r>
        <w:rPr>
          <w:b w:val="0"/>
          <w:i w:val="0"/>
          <w:sz w:val="17"/>
        </w:rPr>
        <w:t>4. "Sudeste 4,1 t/hab" isolado não existe nas fontes — o 4,1 é de "SUL E SUDESTE" (conjunto), série ANEPAC [C11]. Nenhum snippet deu valor exclusivo do Sudeste.</w:t>
      </w:r>
    </w:p>
    <w:p>
      <w:pPr>
        <w:spacing w:after="120"/>
      </w:pPr>
      <w:r>
        <w:rPr>
          <w:b w:val="0"/>
          <w:i w:val="0"/>
          <w:sz w:val="17"/>
        </w:rPr>
        <w:t>5. "2,2 t/hab" nacional não localizado verbatim — o mais próximo é "~2 t/hab em 2000" [C14].</w:t>
      </w:r>
    </w:p>
    <w:p>
      <w:pPr>
        <w:spacing w:after="120"/>
      </w:pPr>
      <w:r>
        <w:rPr>
          <w:b w:val="0"/>
          <w:i w:val="0"/>
          <w:sz w:val="17"/>
        </w:rPr>
        <w:t>6. Nenhuma referência pública de t/m² para urbanização completa (Seção 5) — apenas composições por serviço (SINAPI/SICRO) e espessuras normativas DNIT que permitem derivação própria.</w:t>
      </w:r>
    </w:p>
    <w:p>
      <w:pPr>
        <w:spacing w:after="120"/>
      </w:pPr>
      <w:r>
        <w:rPr>
          <w:b w:val="0"/>
          <w:i w:val="0"/>
          <w:sz w:val="17"/>
        </w:rPr>
        <w:t>7. Data da audiência no Senado ambígua: URL sugere 11/05/2009; título interno do PDF diz "5 de novembro de 2009". Conferir na agenda da CI (https://legis.senado.leg.br/comissoes/audiencias?codcol=59) antes de citar a data.</w:t>
      </w:r>
    </w:p>
    <w:p>
      <w:pPr>
        <w:spacing w:after="120"/>
      </w:pPr>
      <w:r>
        <w:rPr>
          <w:b w:val="0"/>
          <w:i w:val="0"/>
          <w:sz w:val="17"/>
        </w:rPr>
        <w:t>8. Existe ainda uma segunda apresentação ANEPAC no Senado (CAE, 2007): https://www.senado.gov.br/comissoes/cae/ap/ap_20070910_anepac_mineracao.pdf — não explorada em detalhe (possível fonte adicional da mesma tabela).</w:t>
      </w:r>
    </w:p>
    <w:p>
      <w:pPr>
        <w:spacing w:after="120" w:before="200"/>
      </w:pPr>
      <w:r>
        <w:rPr>
          <w:b/>
          <w:i w:val="0"/>
          <w:sz w:val="26"/>
        </w:rPr>
        <w:t>Anexo A — evidências documentais (coleta de 18/08/2026)</w:t>
      </w:r>
    </w:p>
    <w:p>
      <w:pPr>
        <w:spacing w:after="120"/>
      </w:pPr>
      <w:r>
        <w:rPr>
          <w:b w:val="0"/>
          <w:i w:val="0"/>
          <w:sz w:val="17"/>
        </w:rPr>
        <w:t>Data da coleta: 2026-08-18</w:t>
      </w:r>
    </w:p>
    <w:p>
      <w:pPr>
        <w:spacing w:after="120"/>
      </w:pPr>
      <w:r>
        <w:rPr>
          <w:b w:val="0"/>
          <w:i w:val="0"/>
          <w:sz w:val="17"/>
        </w:rPr>
        <w:t>Nota metodológica (importante). Nesta rodada, o proxy de egress bloqueou o WebFetch para TODOS os domínios tentados (der.es.gov.br, es.gov.br, sedurb.es.gov.br, saomateus.es.gov.br, hojees.com.br, emdiaes.com.br, tconline.com.br, sitebarra.com.br, ruacep.com.br). Portanto, TODA a evidência abaixo vem de snippets/sínteses retornados pela ferramenta de busca (WebSearch), citados verbatim como recebidos. Marcação usada em cada bloco de citação:</w:t>
      </w:r>
    </w:p>
    <w:p>
      <w:pPr>
        <w:spacing w:after="120"/>
      </w:pPr>
      <w:r>
        <w:rPr>
          <w:b w:val="0"/>
          <w:i w:val="0"/>
          <w:sz w:val="17"/>
        </w:rPr>
        <w:t>[PT] = trecho em português retornado pela busca (provável texto literal ou quase literal da página);</w:t>
      </w:r>
    </w:p>
    <w:p>
      <w:pPr>
        <w:spacing w:after="120"/>
      </w:pPr>
      <w:r>
        <w:rPr>
          <w:b w:val="0"/>
          <w:i w:val="0"/>
          <w:sz w:val="17"/>
        </w:rPr>
        <w:t>[EN-sint] = síntese em inglês gerada pela camada de busca sobre o conteúdo da página (não é o texto original da matéria, mas registro fiel do que a busca retornou).</w:t>
      </w:r>
    </w:p>
    <w:p>
      <w:pPr>
        <w:spacing w:after="120"/>
      </w:pPr>
      <w:r>
        <w:rPr>
          <w:b w:val="0"/>
          <w:i w:val="0"/>
          <w:sz w:val="17"/>
        </w:rPr>
        <w:t>Em ambos os casos vale a regra: "(via snippet de busca; site bloqueado para fetch)". Nada abaixo foi parafraseado por mim dentro dos blocos de citação.</w:t>
      </w:r>
    </w:p>
    <w:p>
      <w:pPr>
        <w:spacing w:after="120"/>
      </w:pPr>
      <w:r>
        <w:rPr>
          <w:b w:val="0"/>
          <w:i w:val="0"/>
          <w:sz w:val="17"/>
        </w:rPr>
      </w:r>
    </w:p>
    <w:p>
      <w:pPr>
        <w:spacing w:after="120" w:before="160"/>
      </w:pPr>
      <w:r>
        <w:rPr>
          <w:b/>
          <w:i w:val="0"/>
          <w:sz w:val="22"/>
        </w:rPr>
        <w:t>1. Macrodrenagem — Bacia 1 (lado Norte; edital de março/2026)</w:t>
      </w:r>
    </w:p>
    <w:p>
      <w:pPr>
        <w:spacing w:after="120"/>
      </w:pPr>
      <w:r>
        <w:rPr>
          <w:b w:val="0"/>
          <w:i w:val="0"/>
          <w:sz w:val="17"/>
        </w:rPr>
        <w:t>[E01] URL: https://der.es.gov.br/Noticia/governo-anuncia-edital-para-nova-etapa-da-macrodrenagem-de-guriri-em-sao-mateus (espelhos: https://www.es.gov.br/Noticia/governo-do-estado-anuncia-edital-para-nova-etapa-da-macrodrenagem-de-guriri-em-sao-mateus ; https://emdiaes.com.br/politica/governo-anuncia-edital-para-nova-etapa-da-macrodrenagem-de-guriri-em-sao-mateus/ ; https://hojees.com.br/governo-anuncia-edital-para-nova-etapa-da-macrodrenagem-de-guriri-em-sao-mateus/) | Fonte: DER-ES / Governo ES | Data da matéria: 24/03/2026 (terça-feira, conforme E03) | (via snippet de busca; site bloqueado)</w:t>
      </w:r>
    </w:p>
    <w:p>
      <w:pPr>
        <w:spacing w:after="120"/>
      </w:pPr>
      <w:r>
        <w:rPr>
          <w:b w:val="0"/>
          <w:i w:val="0"/>
          <w:color w:val="595959"/>
          <w:sz w:val="17"/>
        </w:rPr>
        <w:t>[EN-sint] "The government announced the publication of the bidding notice for the second stage of the macro drainage works in Guriri Beach, which will be executed by DER-ES, covering the North side of the region (basin 1) with an investment of R$ 321.8 million and an execution period of 1,620 days."</w:t>
      </w:r>
    </w:p>
    <w:p>
      <w:pPr>
        <w:spacing w:after="120"/>
      </w:pPr>
      <w:r>
        <w:rPr>
          <w:b w:val="0"/>
          <w:i w:val="0"/>
          <w:sz w:val="17"/>
        </w:rPr>
        <w:t>Leitura: confirma na fonte oficial que a Bacia 1 é o lado Norte, com R$ 321,8 milhões e prazo de 1.620 dias, sendo a "segunda etapa" do programa.</w:t>
      </w:r>
    </w:p>
    <w:p>
      <w:pPr>
        <w:spacing w:after="120"/>
      </w:pPr>
      <w:r>
        <w:rPr>
          <w:b w:val="0"/>
          <w:i w:val="0"/>
          <w:sz w:val="17"/>
        </w:rPr>
        <w:t>[E02] URL: mesmas de E01 (família DER-ES/Governo ES/Em Dia ES/Hoje ES) | Fonte: DER-ES / Governo ES | Data: mar/2026 | (via snippet de busca; site bloqueado)</w:t>
      </w:r>
    </w:p>
    <w:p>
      <w:pPr>
        <w:spacing w:after="120"/>
      </w:pPr>
      <w:r>
        <w:rPr>
          <w:b w:val="0"/>
          <w:i w:val="0"/>
          <w:color w:val="595959"/>
          <w:sz w:val="17"/>
        </w:rPr>
        <w:t>[EN-sint] "There are 13.5 kilometers of drainage network planned, with simple, double and triple galleries, totaling more than 13.5 thousand linear meters, plus approximately 125 thousand square meters of paving. Additionally, the system will have a flow capacity of up to 15 thousand liters per second and will have pumping stations, increasing efficiency in rainwater drainage throughout the region."</w:t>
      </w:r>
    </w:p>
    <w:p>
      <w:pPr>
        <w:spacing w:after="120"/>
      </w:pPr>
      <w:r>
        <w:rPr>
          <w:b w:val="0"/>
          <w:i w:val="0"/>
          <w:sz w:val="17"/>
        </w:rPr>
        <w:t>Leitura: confirma os números do edital da Bacia 1 — 13,5 km de galerias (simples, duplas e triplas), ~125 mil m² de pavimentação, vazão de até 15 mil L/s e estações de bombeamento.</w:t>
      </w:r>
    </w:p>
    <w:p>
      <w:pPr>
        <w:spacing w:after="120"/>
      </w:pPr>
      <w:r>
        <w:rPr>
          <w:b w:val="0"/>
          <w:i w:val="0"/>
          <w:sz w:val="17"/>
        </w:rPr>
        <w:t>[E03] URL: https://emdiaes.com.br/politica/governo-anuncia-edital-para-nova-etapa-da-macrodrenagem-de-guriri-em-sao-mateus/ (e espelhos de E01) | Fonte: Em Dia ES (reprodução de release do Governo ES) | Data: 24/03/2026 | (via snippet de busca; site bloqueado)</w:t>
      </w:r>
    </w:p>
    <w:p>
      <w:pPr>
        <w:spacing w:after="120"/>
      </w:pPr>
      <w:r>
        <w:rPr>
          <w:b w:val="0"/>
          <w:i w:val="0"/>
          <w:color w:val="595959"/>
          <w:sz w:val="17"/>
        </w:rPr>
        <w:t>[EN-sint] "The macrodrenagem interventions in Guriri will reach important avenues in the beach resort, including Avenida Décima Primeira, Avenida Nona, Avenida Esbertalina Barbosa Damiani and Avenida Hélio Faria Santos, along with strategic streets, promoting a complete restructuring of local urban infrastructure. The state governor Renato Casagrande and vice-governor Ricardo Ferraço announced on Tuesday (March 24, 2026) the publication of the public call notice for the second stage of macrodrenagem works in the beach resort of Guriri, in São Mateus."</w:t>
      </w:r>
    </w:p>
    <w:p>
      <w:pPr>
        <w:spacing w:after="120"/>
      </w:pPr>
      <w:r>
        <w:rPr>
          <w:b w:val="0"/>
          <w:i w:val="0"/>
          <w:sz w:val="17"/>
        </w:rPr>
        <w:t>Leitura: única lista de vias da Bacia 1 encontrada — Av. Décima Primeira, Av. Nona, Av. Esbertalina Barbosa Damiani e Av. Hélio Faria Santos, "além de ruas estratégicas"; também fixa a data do anúncio (24/03/2026). Obs.: Av. Hélio Faria Santos tem CEP de Guriri Norte (29946-580, ver E32), coerente com "lado Norte".</w:t>
      </w:r>
    </w:p>
    <w:p>
      <w:pPr>
        <w:spacing w:after="120"/>
      </w:pPr>
      <w:r>
        <w:rPr>
          <w:b w:val="0"/>
          <w:i w:val="0"/>
          <w:sz w:val="17"/>
        </w:rPr>
        <w:t>[E04] URL: família de E01 | Fonte: DER-ES | Data: mar/2026 | (via snippet de busca; site bloqueado)</w:t>
      </w:r>
    </w:p>
    <w:p>
      <w:pPr>
        <w:spacing w:after="120"/>
      </w:pPr>
      <w:r>
        <w:rPr>
          <w:b w:val="0"/>
          <w:i w:val="0"/>
          <w:color w:val="595959"/>
          <w:sz w:val="17"/>
        </w:rPr>
        <w:t>[EN-sint] "The DER-ES published a notice of bidding in electronic auction format (Concorrência Eletrônica) in the Official State Gazette (Diário Oficial do Estado) for the hiring of executive projects and macrodrenage and paving works in the Balneário de Guriri... The Commission for Contracting Construction Works and Infrastructure Services under the Integrated Contracting System of DER-ES launched the bidding, which will be conducted through the State Government's electronic system."</w:t>
      </w:r>
    </w:p>
    <w:p>
      <w:pPr>
        <w:spacing w:after="120"/>
      </w:pPr>
      <w:r>
        <w:rPr>
          <w:b w:val="0"/>
          <w:i w:val="0"/>
          <w:sz w:val="17"/>
        </w:rPr>
        <w:t>Leitura: a licitação da Bacia 1 é concorrência eletrônica publicada no DIO-ES, em regime de contratação integrada (projeto executivo + obra), conduzida por comissão específica do DER-ES; o número do edital não apareceu nos snippets.</w:t>
      </w:r>
    </w:p>
    <w:p>
      <w:pPr>
        <w:spacing w:after="120"/>
      </w:pPr>
      <w:r>
        <w:rPr>
          <w:b w:val="0"/>
          <w:i w:val="0"/>
          <w:sz w:val="17"/>
        </w:rPr>
        <w:t>[E05] URL: https://tconline.com.br/freitas-afirma-que-casagrande-lanca-edital-para-macrodrenagem-do-lado-norte-de-guriri-ainda-neste-mes/ | Fonte: TC Online | Data: mar/2026 (pré-anúncio) | (via snippet de busca; site bloqueado)</w:t>
      </w:r>
    </w:p>
    <w:p>
      <w:pPr>
        <w:spacing w:after="120"/>
      </w:pPr>
      <w:r>
        <w:rPr>
          <w:b w:val="0"/>
          <w:i w:val="0"/>
          <w:color w:val="595959"/>
          <w:sz w:val="17"/>
        </w:rPr>
        <w:t>[Título literal] "Freitas afirma que Casagrande lança edital para macrodrenagem do lado norte de Guriri ainda neste mês"</w:t>
      </w:r>
    </w:p>
    <w:p>
      <w:pPr>
        <w:spacing w:after="120"/>
      </w:pPr>
      <w:r>
        <w:rPr>
          <w:b w:val="0"/>
          <w:i w:val="0"/>
          <w:sz w:val="17"/>
        </w:rPr>
        <w:t>Leitura: o deputado Freitas antecipou publicamente o lançamento do edital do lado Norte (Bacia 1) no mesmo mês do anúncio oficial.</w:t>
      </w:r>
    </w:p>
    <w:p>
      <w:pPr>
        <w:spacing w:after="120" w:before="160"/>
      </w:pPr>
      <w:r>
        <w:rPr>
          <w:b/>
          <w:i w:val="0"/>
          <w:sz w:val="22"/>
        </w:rPr>
        <w:t>1b. Macrodrenagem — Bacia 2 (lado Sul; em obra)</w:t>
      </w:r>
    </w:p>
    <w:p>
      <w:pPr>
        <w:spacing w:after="120"/>
      </w:pPr>
      <w:r>
        <w:rPr>
          <w:b w:val="0"/>
          <w:i w:val="0"/>
          <w:sz w:val="17"/>
        </w:rPr>
        <w:t>[E06] URL: https://es1.com.br/macrodrenagem-alagamentos-em-guriri-estao-com-os-dias-contados-diz-freitas/ (mesmo texto-base da família E01) | Fonte: ES1 / release Governo ES | Data: 2026 | (via snippet de busca; site bloqueado)</w:t>
      </w:r>
    </w:p>
    <w:p>
      <w:pPr>
        <w:spacing w:after="120"/>
      </w:pPr>
      <w:r>
        <w:rPr>
          <w:b w:val="0"/>
          <w:i w:val="0"/>
          <w:color w:val="595959"/>
          <w:sz w:val="17"/>
        </w:rPr>
        <w:t>[PT] "A primeira etapa, já em andamento no lado Sul (bacia 2), conta com investimento de R$ 306,5 milhões e já executou mais de 2,5 quilômetros de galerias, avançando para um total previsto de 10,6 quilômetros."</w:t>
      </w:r>
    </w:p>
    <w:p>
      <w:pPr>
        <w:spacing w:after="120"/>
      </w:pPr>
      <w:r>
        <w:rPr>
          <w:b w:val="0"/>
          <w:i w:val="0"/>
          <w:sz w:val="17"/>
        </w:rPr>
        <w:t>Leitura: em março/2026 a Bacia 2 (lado Sul) tinha contrato de R$ 306,5 milhões e mais de 2,5 km de galerias executados, de um total previsto de 10,6 km.</w:t>
      </w:r>
    </w:p>
    <w:p>
      <w:pPr>
        <w:spacing w:after="120"/>
      </w:pPr>
      <w:r>
        <w:rPr>
          <w:b w:val="0"/>
          <w:i w:val="0"/>
          <w:sz w:val="17"/>
        </w:rPr>
        <w:t>[E07] URL: https://es1.com.br/macrodrenagem-alagamentos-em-guriri-estao-com-os-dias-contados-diz-freitas/ e https://der.es.gov.br/Not%C3%ADcia/der-es-reune-moradores-e-comerciantes-de-sao-mateus-para-tirar-duvidas-sobre-as-obras-de-macrodrenagem-de-guriri | Fonte: ES1 / DER-ES | Data: 2025–2026 | (via snippet de busca; site bloqueado)</w:t>
      </w:r>
    </w:p>
    <w:p>
      <w:pPr>
        <w:spacing w:after="120"/>
      </w:pPr>
      <w:r>
        <w:rPr>
          <w:b w:val="0"/>
          <w:i w:val="0"/>
          <w:color w:val="595959"/>
          <w:sz w:val="17"/>
        </w:rPr>
        <w:t>[PT] "Atualmente, os trabalhos estão concentrados na chamada Bacia 2, considerada a primeira etapa da execução e que já supera 25% de avanço das obras."</w:t>
      </w:r>
    </w:p>
    <w:p>
      <w:pPr>
        <w:spacing w:after="120"/>
      </w:pPr>
      <w:r>
        <w:rPr>
          <w:b w:val="0"/>
          <w:i w:val="0"/>
          <w:sz w:val="17"/>
        </w:rPr>
        <w:t>Leitura: percentual oficial de avanço da Bacia 2 divulgado: acima de 25% (na data das matérias, 2025/2026).</w:t>
      </w:r>
    </w:p>
    <w:p>
      <w:pPr>
        <w:spacing w:after="120"/>
      </w:pPr>
      <w:r>
        <w:rPr>
          <w:b w:val="0"/>
          <w:i w:val="0"/>
          <w:sz w:val="17"/>
        </w:rPr>
        <w:t>[E08] URL: https://sitebarra.com.br/v8/guriri-consorcio-comeca-macrodrenagem-depois-do-carnaval/ e https://esbrasil.com.br/der-es-faz-novo-desvio-para-obras-de-macrodrenagem-em-guriri/ | Fonte: SiteBarra / ES Brasil | Data: ~2022-11 (assinatura) | (via snippet de busca; site bloqueado)</w:t>
      </w:r>
    </w:p>
    <w:p>
      <w:pPr>
        <w:spacing w:after="120"/>
      </w:pPr>
      <w:r>
        <w:rPr>
          <w:b w:val="0"/>
          <w:i w:val="0"/>
          <w:color w:val="595959"/>
          <w:sz w:val="17"/>
        </w:rPr>
        <w:t>[EN-sint] "The state will invest approximately R$ 350 million in the works, to be executed by the Consórcio Guriri CT, formed by the companies Contractor Engenharia and Transmar Consultoria e Engenharia. The execution deadline was 43 months. ... Governor Renato Casagrande signed the contract in a ceremony on November 20 (in connection with the National Day of Black Consciousness). ... The first stage of macrodrenagem works in Guriri was scheduled to begin after Carnival."</w:t>
      </w:r>
    </w:p>
    <w:p>
      <w:pPr>
        <w:spacing w:after="120"/>
      </w:pPr>
      <w:r>
        <w:rPr>
          <w:b w:val="0"/>
          <w:i w:val="0"/>
          <w:sz w:val="17"/>
        </w:rPr>
        <w:t>Leitura: executor da Bacia 2 é o Consórcio Guriri CT (Contractor Engenharia + Transmar Consultoria e Engenharia), contrato assinado em 20 de novembro (Dia da Consciência Negra; pelas matérias correlatas, novembro/2022), prazo 43 meses, com início de obras após o Carnaval (2023).</w:t>
      </w:r>
    </w:p>
    <w:p>
      <w:pPr>
        <w:spacing w:after="120"/>
      </w:pPr>
      <w:r>
        <w:rPr>
          <w:b w:val="0"/>
          <w:i w:val="0"/>
          <w:sz w:val="17"/>
        </w:rPr>
        <w:t>[E09] URL: https://der.es.gov.br/Not%C3%ADcia/publicado-edital-para-projeto-e-obras-de-macrodrenagem-no-balneario-de-guriri-em-sao-mateus | Fonte: DER-ES | Data: 2022 (edital da Bacia 2) | (via snippet de busca; site bloqueado)</w:t>
      </w:r>
    </w:p>
    <w:p>
      <w:pPr>
        <w:spacing w:after="120"/>
      </w:pPr>
      <w:r>
        <w:rPr>
          <w:b w:val="0"/>
          <w:i w:val="0"/>
          <w:color w:val="595959"/>
          <w:sz w:val="17"/>
        </w:rPr>
        <w:t>[EN-sint] "The estimated value of the investment by the State Government was R$ 343,977,056.71 and the execution period was 43 months... The contracting was conducted through a Regime Diferenciado de Contratação Integrada (RDCI), in which the winning company would be responsible for both the development of the executive project and the execution of the work."</w:t>
      </w:r>
    </w:p>
    <w:p>
      <w:pPr>
        <w:spacing w:after="120"/>
      </w:pPr>
      <w:r>
        <w:rPr>
          <w:b w:val="0"/>
          <w:i w:val="0"/>
          <w:sz w:val="17"/>
        </w:rPr>
        <w:t>Leitura: o edital da Bacia 2 saiu por RDC-Integrado com valor estimado de R$ 343.977.056,71 e 43 meses; o contrato foi fechado abaixo do estimado (R$ 306,5 mi, E06).</w:t>
      </w:r>
    </w:p>
    <w:p>
      <w:pPr>
        <w:spacing w:after="120"/>
      </w:pPr>
      <w:r>
        <w:rPr>
          <w:b w:val="0"/>
          <w:i w:val="0"/>
          <w:sz w:val="17"/>
        </w:rPr>
        <w:t>[E10] URL: https://tconline.com.br/casagrande-afirma-que-obras-da-macrodrenagem-de-guriri-comecam-depois-do-carnaval/ | Fonte: TC Online | Data: ~2022/2023 | (via snippet de busca; site bloqueado)</w:t>
      </w:r>
    </w:p>
    <w:p>
      <w:pPr>
        <w:spacing w:after="120"/>
      </w:pPr>
      <w:r>
        <w:rPr>
          <w:b w:val="0"/>
          <w:i w:val="0"/>
          <w:color w:val="595959"/>
          <w:sz w:val="17"/>
        </w:rPr>
        <w:t>[EN-sint] "The project has a 43-month timeline and investment exceeding R$ 343.9 million, providing approximately nine kilometers of storm drainage network, in addition to paving and sidewalks... The bidding was completed and its homologation was published in the State Official Gazette on the last Thursday (7)."</w:t>
      </w:r>
    </w:p>
    <w:p>
      <w:pPr>
        <w:spacing w:after="120"/>
      </w:pPr>
      <w:r>
        <w:rPr>
          <w:b w:val="0"/>
          <w:i w:val="0"/>
          <w:sz w:val="17"/>
        </w:rPr>
        <w:t>Leitura: registra a homologação da licitação da Bacia 2 no DIO-ES (numa quinta-feira, dia 7) e o escopo anunciado de ~9 km de rede de drenagem + pavimentação e calçadas.</w:t>
      </w:r>
    </w:p>
    <w:p>
      <w:pPr>
        <w:spacing w:after="120"/>
      </w:pPr>
      <w:r>
        <w:rPr>
          <w:b w:val="0"/>
          <w:i w:val="0"/>
          <w:sz w:val="17"/>
        </w:rPr>
        <w:t>[E11] URL: https://saomateusnoticias.com.br/guriri-transito-alterado-na-es-010-para-avanco-das-obras-de-macrodrenagem/ e https://es1.com.br/macrodrenagem-alagamentos-em-guriri-estao-com-os-dias-contados-diz-freitas/ | Fonte: São Mateus Notícias / ES1 | Data: 2025 | (via snippet de busca; site bloqueado)</w:t>
      </w:r>
    </w:p>
    <w:p>
      <w:pPr>
        <w:spacing w:after="120"/>
      </w:pPr>
      <w:r>
        <w:rPr>
          <w:b w:val="0"/>
          <w:i w:val="0"/>
          <w:color w:val="595959"/>
          <w:sz w:val="17"/>
        </w:rPr>
        <w:t>[PT] "Além dessas, a fase inicial abrange a Avenida Oceano Índico, Rua Boa Esperança, Avenida Quinta, Rua XXI, Avenida Homero Zordan, Avenida Rafael Barbosa e Rua José Bonomo."</w:t>
      </w:r>
    </w:p>
    <w:p>
      <w:pPr>
        <w:spacing w:after="120"/>
      </w:pPr>
      <w:r>
        <w:rPr>
          <w:b w:val="0"/>
          <w:i w:val="0"/>
          <w:sz w:val="17"/>
        </w:rPr>
        <w:t>Leitura: vias nomeadas da fase inicial (Bacia 2, lado Sul): Av. Oceano Índico, Rua Boa Esperança, Av. Quinta, Rua XXI, Av. Homero Zordan, Av. Rafael Barbosa e Rua José Bonomo.</w:t>
      </w:r>
    </w:p>
    <w:p>
      <w:pPr>
        <w:spacing w:after="120"/>
      </w:pPr>
      <w:r>
        <w:rPr>
          <w:b w:val="0"/>
          <w:i w:val="0"/>
          <w:sz w:val="17"/>
        </w:rPr>
        <w:t>[E12] URL: https://sedurb.es.gov.br/Not%C3%ADcia/governo-do-estado-anuncia-edital-para-obras-de-macrodrenagem-em-sao-mateus e https://www.es.gov.br/Noticia/sao-mateus-recebe-novas-obras-e-investimentos-do-governo-do-estado-2 | Fonte: Sedurb / Governo ES | Data: junho/2022 (conforme busca) | (via snippet de busca; site bloqueado)</w:t>
      </w:r>
    </w:p>
    <w:p>
      <w:pPr>
        <w:spacing w:after="120"/>
      </w:pPr>
      <w:r>
        <w:rPr>
          <w:b w:val="0"/>
          <w:i w:val="0"/>
          <w:color w:val="595959"/>
          <w:sz w:val="17"/>
        </w:rPr>
        <w:t>[PT] "As avenidas contempladas com a macrodrenagem são: Esbertalina Barbosa Damiani; Espera Feliz; e a Governador Eurico Vieira Rezende."</w:t>
      </w:r>
    </w:p>
    <w:p>
      <w:pPr>
        <w:spacing w:after="120"/>
      </w:pPr>
      <w:r>
        <w:rPr>
          <w:b w:val="0"/>
          <w:i w:val="0"/>
          <w:color w:val="595959"/>
          <w:sz w:val="17"/>
        </w:rPr>
        <w:t>[EN-sint] "The project will construct 4,170 meters of drainage galleries, in addition to paving three avenues in Guriri, with an investment of R$ 33 million. ... The State Government, through Sedurb, is executing drainage and paving services on Avenidas Esbertalina Barbosa Damiani, Espera Feliz, and Governador Eurico Vieira Rezende to reduce flood-prone areas."</w:t>
      </w:r>
    </w:p>
    <w:p>
      <w:pPr>
        <w:spacing w:after="120"/>
      </w:pPr>
      <w:r>
        <w:rPr>
          <w:b w:val="0"/>
          <w:i w:val="0"/>
          <w:sz w:val="17"/>
        </w:rPr>
        <w:t>Leitura: projeto de drenagem/pavimentação da Sedurb (edital de 2022, R$ 33 milhões — algumas fontes citam R$ 33,5 mi) com 4.170 m de galerias e pavimentação de TRÊS avenidas nomeadas: Esbertalina Barbosa Damiani, Espera Feliz e Governador Eurico Vieira Rezende. É intervenção anterior/complementar à macrodrenagem bilionária do DER-ES.</w:t>
      </w:r>
    </w:p>
    <w:p>
      <w:pPr>
        <w:spacing w:after="120"/>
      </w:pPr>
      <w:r>
        <w:rPr>
          <w:b w:val="0"/>
          <w:i w:val="0"/>
          <w:sz w:val="17"/>
        </w:rPr>
        <w:t>[E13] URL: https://der.es.gov.br/Noticia/der-es-faz-novo-desvio-para-obras-de-macrodrenagem-em-guriri-sao-mateus (espelho: https://esbrasil.com.br/der-es-faz-novo-desvio-para-obras-de-macrodrenagem-em-guriri/) | Fonte: DER-ES | Data: nov/2025 | (via snippet de busca; site bloqueado)</w:t>
      </w:r>
    </w:p>
    <w:p>
      <w:pPr>
        <w:spacing w:after="120"/>
      </w:pPr>
      <w:r>
        <w:rPr>
          <w:b w:val="0"/>
          <w:i w:val="0"/>
          <w:color w:val="595959"/>
          <w:sz w:val="17"/>
        </w:rPr>
        <w:t>[EN-sint] "A traffic diversion on ES-010 began on Tuesday, November 25, 2025, and runs until December 15, 2025, for macro-drainage works at the entrance to Guriri. During this period, the DER-ES maintains the diversion through Mucurici, Geraldo Pinto, and Boa Esperança streets... The roadway section to be closed has approximately 300 meters in length and requires excavation for the transposition of dual galleries on ES-010, passing beneath existing gas piping."</w:t>
      </w:r>
    </w:p>
    <w:p>
      <w:pPr>
        <w:spacing w:after="120"/>
      </w:pPr>
      <w:r>
        <w:rPr>
          <w:b w:val="0"/>
          <w:i w:val="0"/>
          <w:sz w:val="17"/>
        </w:rPr>
        <w:t>Leitura: obra da Bacia 2 na entrada de Guriri interditou ~300 m da ES-010 (25/11–15/12/2025) para travessia de galerias duplas sob a rodovia (e sob tubulação de gás), com desvio pelas ruas Mucurici, Geraldo Pinto e Boa Esperança.</w:t>
      </w:r>
    </w:p>
    <w:p>
      <w:pPr>
        <w:spacing w:after="120"/>
      </w:pPr>
      <w:r>
        <w:rPr>
          <w:b w:val="0"/>
          <w:i w:val="0"/>
          <w:sz w:val="17"/>
        </w:rPr>
        <w:t>[E14] URL: https://der.es.gov.br/Not%C3%ADcia/macrodrenagem-der-es-interdita-trecho-da-es-010-em-guriri-por-40-dias-a-partir-de-segunda-feira-11 | Fonte: DER-ES | Data: 2025 (11/05 a 21/06) | (via snippet de busca; site bloqueado)</w:t>
      </w:r>
    </w:p>
    <w:p>
      <w:pPr>
        <w:spacing w:after="120"/>
      </w:pPr>
      <w:r>
        <w:rPr>
          <w:b w:val="0"/>
          <w:i w:val="0"/>
          <w:color w:val="595959"/>
          <w:sz w:val="17"/>
        </w:rPr>
        <w:t>[EN-sint] "The closure ran from May 11 to June 21. The reason for the closure was the opening of trenches to cross the ES-010 for the installation of concrete galleries... One example was Raphael Brahim Street, where a simple 2x2m gallery was being installed, and in another nearby section there would be a triple 2x2m gallery crossing."</w:t>
      </w:r>
    </w:p>
    <w:p>
      <w:pPr>
        <w:spacing w:after="120"/>
      </w:pPr>
      <w:r>
        <w:rPr>
          <w:b w:val="0"/>
          <w:i w:val="0"/>
          <w:sz w:val="17"/>
        </w:rPr>
        <w:t>Leitura: outra interdição de 40 dias da ES-010 (11/05–21/06) para travessias de galerias; cita a Rua Raphael Brahim com galeria simples 2x2 m e travessia de galeria tripla 2x2 m em trecho próximo.</w:t>
      </w:r>
    </w:p>
    <w:p>
      <w:pPr>
        <w:spacing w:after="120"/>
      </w:pPr>
      <w:r>
        <w:rPr>
          <w:b w:val="0"/>
          <w:i w:val="0"/>
          <w:sz w:val="17"/>
        </w:rPr>
        <w:t>[E15] URL: família E13 (DER-ES) | Fonte: DER-ES | Data: 2025 | (via snippet de busca; site bloqueado)</w:t>
      </w:r>
    </w:p>
    <w:p>
      <w:pPr>
        <w:spacing w:after="120"/>
      </w:pPr>
      <w:r>
        <w:rPr>
          <w:b w:val="0"/>
          <w:i w:val="0"/>
          <w:color w:val="595959"/>
          <w:sz w:val="17"/>
        </w:rPr>
        <w:t>[EN-sint] "The system being implemented involves the construction of underground concrete galleries, responsible for conducting rainwater to the Rainwater Pumping Station (EBAP), from which the water will flow through an emissary to the Mariricu River."</w:t>
      </w:r>
    </w:p>
    <w:p>
      <w:pPr>
        <w:spacing w:after="120"/>
      </w:pPr>
      <w:r>
        <w:rPr>
          <w:b w:val="0"/>
          <w:i w:val="0"/>
          <w:sz w:val="17"/>
        </w:rPr>
        <w:t>Leitura: concepção hidráulica da Bacia 2 — galerias subterrâneas → Estação de Bombeamento de Águas Pluviais (EBAP) → emissário → Rio Mariricu.</w:t>
      </w:r>
    </w:p>
    <w:p>
      <w:pPr>
        <w:spacing w:after="120"/>
      </w:pPr>
      <w:r>
        <w:rPr>
          <w:b w:val="0"/>
          <w:i w:val="0"/>
          <w:sz w:val="17"/>
        </w:rPr>
        <w:t>[E16] URL: https://portaljornaldonorte.com.br/macrodrenagem-em-guriri-obra-historica-vai-transformar-realidade-de-moradores-e-impulsionar-turismo-no-litoral-norte-capixaba/ | Fonte: Portal Jornal do Norte | Data: 2025/2026 | (via snippet de busca; site bloqueado)</w:t>
      </w:r>
    </w:p>
    <w:p>
      <w:pPr>
        <w:spacing w:after="120"/>
      </w:pPr>
      <w:r>
        <w:rPr>
          <w:b w:val="0"/>
          <w:i w:val="0"/>
          <w:color w:val="595959"/>
          <w:sz w:val="17"/>
        </w:rPr>
        <w:t>[EN-sint] "With investment exceeding R$ 306 million from the State Government and execution by DER-ES, the project covers 8.2 kilometers in length... The work of macrodrenagem has been awaited for more than two decades."</w:t>
      </w:r>
    </w:p>
    <w:p>
      <w:pPr>
        <w:spacing w:after="120"/>
      </w:pPr>
      <w:r>
        <w:rPr>
          <w:b w:val="0"/>
          <w:i w:val="0"/>
          <w:sz w:val="17"/>
        </w:rPr>
        <w:t>Leitura: a mesma obra (Bacia 2) é descrita com 8,2 km de extensão (vs. 10,6 km de galerias em E06 — medidas de coisas distintas ou divergência entre fontes) e como demanda de mais de 20 anos. Ver também Relator News: https://relatornews.com.br/apos-mais-de-20-anos-de-espera-obra-de-macrodrenagem-em-guriri-finalmente-sai-do-papel/</w:t>
      </w:r>
    </w:p>
    <w:p>
      <w:pPr>
        <w:spacing w:after="120"/>
      </w:pPr>
      <w:r>
        <w:rPr>
          <w:b w:val="0"/>
          <w:i w:val="0"/>
          <w:sz w:val="17"/>
        </w:rPr>
        <w:t>[E17] URL: https://der.es.gov.br/Not%C3%ADcia/der-es-reune-moradores-e-comerciantes-de-sao-mateus-para-tirar-duvidas-sobre-as-obras-de-macrodrenagem-de-guriri | Fonte: DER-ES | Data: 2025 | (via snippet de busca; site bloqueado)</w:t>
      </w:r>
    </w:p>
    <w:p>
      <w:pPr>
        <w:spacing w:after="120"/>
      </w:pPr>
      <w:r>
        <w:rPr>
          <w:b w:val="0"/>
          <w:i w:val="0"/>
          <w:color w:val="595959"/>
          <w:sz w:val="17"/>
        </w:rPr>
        <w:t>[EN-sint] "A meeting was held on Monday, the 16th, presided over by José Eustáquio de Freitas, director-general of DER-ES, at the Auditorium of Wallace Castelo Dutra State School... The meeting with the communities is part of a contractual requirement that provides for this dialogue before, during, and after the conclusion of the State Government works... galleries of different dimensions—simple, double, and even triple structures—plus systems with large sections for rainwater drainage."</w:t>
      </w:r>
    </w:p>
    <w:p>
      <w:pPr>
        <w:spacing w:after="120"/>
      </w:pPr>
      <w:r>
        <w:rPr>
          <w:b w:val="0"/>
          <w:i w:val="0"/>
          <w:sz w:val="17"/>
        </w:rPr>
        <w:t>Leitura: o DER-ES mantém obrigação contratual de diálogo com moradores/comerciantes durante a obra; direção-geral do DER-ES: José Eustáquio de Freitas.</w:t>
      </w:r>
    </w:p>
    <w:p>
      <w:pPr>
        <w:spacing w:after="120" w:before="160"/>
      </w:pPr>
      <w:r>
        <w:rPr>
          <w:b/>
          <w:i w:val="0"/>
          <w:sz w:val="22"/>
        </w:rPr>
        <w:t>1c. Macrodrenagem — Bacia 3 e programa completo (~R$ 1 bilhão)</w:t>
      </w:r>
    </w:p>
    <w:p>
      <w:pPr>
        <w:spacing w:after="120"/>
      </w:pPr>
      <w:r>
        <w:rPr>
          <w:b w:val="0"/>
          <w:i w:val="0"/>
          <w:sz w:val="17"/>
        </w:rPr>
        <w:t>[E18] URL: https://tconline.com.br/freitas-afirma-que-casagrande-lanca-edital-para-macrodrenagem-do-lado-norte-de-guriri-ainda-neste-mes/ (e família E01) | Fonte: TC Online / DER-ES | Data: mar/2026 | (via snippet de busca; site bloqueado)</w:t>
      </w:r>
    </w:p>
    <w:p>
      <w:pPr>
        <w:spacing w:after="120"/>
      </w:pPr>
      <w:r>
        <w:rPr>
          <w:b w:val="0"/>
          <w:i w:val="0"/>
          <w:color w:val="595959"/>
          <w:sz w:val="17"/>
        </w:rPr>
        <w:t>[PT] "As obras de macrodrenagem de Guriri foram divididas em três etapas – bacias 1, 2 e 3. A primeira foi iniciada, a segunda deve ser anunciada ainda neste mês e a terceira não tem previsão para começar, segundo o diretor-presidente do DER-ES."</w:t>
      </w:r>
    </w:p>
    <w:p>
      <w:pPr>
        <w:spacing w:after="120"/>
      </w:pPr>
      <w:r>
        <w:rPr>
          <w:b w:val="0"/>
          <w:i w:val="0"/>
          <w:color w:val="595959"/>
          <w:sz w:val="17"/>
        </w:rPr>
        <w:t>[PT] "A obra foi estruturada em três etapas, chamadas de bacias, devido ao alto custo e à complexidade da intervenção."</w:t>
      </w:r>
    </w:p>
    <w:p>
      <w:pPr>
        <w:spacing w:after="120"/>
      </w:pPr>
      <w:r>
        <w:rPr>
          <w:b w:val="0"/>
          <w:i w:val="0"/>
          <w:sz w:val="17"/>
        </w:rPr>
        <w:t>Leitura: estado da Bacia 3 em março/2026: SEM previsão de início e sem escopo/valor publicados; a divisão em bacias decorre de custo e complexidade.</w:t>
      </w:r>
    </w:p>
    <w:p>
      <w:pPr>
        <w:spacing w:after="120"/>
      </w:pPr>
      <w:r>
        <w:rPr>
          <w:b w:val="0"/>
          <w:i w:val="0"/>
          <w:sz w:val="17"/>
        </w:rPr>
        <w:t>[E19] URL: https://horadanoticiaonline.com.br/?p=15159 ("Macrodrenagem de Guriri custará R$ 1 bilhão, diz Casagrande") e família E01 | Fonte: Hora da Notícia / Governo ES | Data: 2026 | (via snippet de busca; site bloqueado)</w:t>
      </w:r>
    </w:p>
    <w:p>
      <w:pPr>
        <w:spacing w:after="120"/>
      </w:pPr>
      <w:r>
        <w:rPr>
          <w:b w:val="0"/>
          <w:i w:val="0"/>
          <w:color w:val="595959"/>
          <w:sz w:val="17"/>
        </w:rPr>
        <w:t>[EN-sint] "The total investment across three stages is expected to reach approximately R$ 1 billion, as stated by Governor Renato Casagrande. ... These three phases, when completed, will total R$ 1 billion in investments, representing a true transformation being carried out in the region."</w:t>
      </w:r>
    </w:p>
    <w:p>
      <w:pPr>
        <w:spacing w:after="120"/>
      </w:pPr>
      <w:r>
        <w:rPr>
          <w:b w:val="0"/>
          <w:i w:val="0"/>
          <w:sz w:val="17"/>
        </w:rPr>
        <w:t>Leitura: o programa completo (Bacias 1+2+3) é estimado pelo próprio governador em ~R$ 1 bilhão.</w:t>
      </w:r>
    </w:p>
    <w:p>
      <w:pPr>
        <w:spacing w:after="120"/>
      </w:pPr>
      <w:r>
        <w:rPr>
          <w:b w:val="0"/>
          <w:i w:val="0"/>
          <w:sz w:val="17"/>
        </w:rPr>
      </w:r>
    </w:p>
    <w:p>
      <w:pPr>
        <w:spacing w:after="120" w:before="160"/>
      </w:pPr>
      <w:r>
        <w:rPr>
          <w:b/>
          <w:i w:val="0"/>
          <w:sz w:val="22"/>
        </w:rPr>
        <w:t>2. Pavimentação já executada / em execução em Guriri (fora da macrodrenagem)</w:t>
      </w:r>
    </w:p>
    <w:p>
      <w:pPr>
        <w:spacing w:after="120"/>
      </w:pPr>
      <w:r>
        <w:rPr>
          <w:b w:val="0"/>
          <w:i w:val="0"/>
          <w:sz w:val="17"/>
        </w:rPr>
        <w:t>[E20] URL: https://sedurb.es.gov.br/calcamento-de-ruas-em-sao-mateus-vai-benefici ("Calçamento de ruas em São Mateus vai beneficiar 27 mil pessoas") | Fonte: Sedurb | Data: não visível no snippet (matéria antiga, programa estadual de calçamento) | (via snippet de busca; site bloqueado)</w:t>
      </w:r>
    </w:p>
    <w:p>
      <w:pPr>
        <w:spacing w:after="120"/>
      </w:pPr>
      <w:r>
        <w:rPr>
          <w:b w:val="0"/>
          <w:i w:val="0"/>
          <w:color w:val="595959"/>
          <w:sz w:val="17"/>
        </w:rPr>
        <w:t>[PT] "Aproximadamente 27 mil moradores de São Mateus, no Litoral Norte capixaba, serão beneficiados com obras de calçamento em treze bairros do município. A população beneficiada é residente nos bairros Bom Sucesso 1, Bom Sucesso 2, Vaversa, Guriri, Quilômetro 13, Rio Preto, Alvorada, Carapina, Nova Aimorés, Morada do Ribeirão, Cohab, Lago do Cisnes e Arueira. O investimento de mais de R$ 5 milhões viabilizará obras de calçamento em 52 ruas da cidade, totalizando 68.211,77 metros quadrados de área pavimentada."</w:t>
      </w:r>
    </w:p>
    <w:p>
      <w:pPr>
        <w:spacing w:after="120"/>
      </w:pPr>
      <w:r>
        <w:rPr>
          <w:b w:val="0"/>
          <w:i w:val="0"/>
          <w:sz w:val="17"/>
        </w:rPr>
        <w:t>Leitura: programa estadual (Sedurb) de calçamento em 13 bairros incluiu Guriri — 52 ruas e 68.211,77 m² no total do município (sem lista de quais ruas de Guriri).</w:t>
      </w:r>
    </w:p>
    <w:p>
      <w:pPr>
        <w:spacing w:after="120"/>
      </w:pPr>
      <w:r>
        <w:rPr>
          <w:b w:val="0"/>
          <w:i w:val="0"/>
          <w:sz w:val="17"/>
        </w:rPr>
        <w:t>[E21] URL: https://tconline.com.br/extensao-do-calcamento-na-orla-norte-de-guriri-e-inaugurada/ | Fonte: TC Online | Data: não visível no snippet ("quinta-feira (4)"; gestão do prefeito Daniel Santana, 2021+) | (via snippet de busca; site bloqueado)</w:t>
      </w:r>
    </w:p>
    <w:p>
      <w:pPr>
        <w:spacing w:after="120"/>
      </w:pPr>
      <w:r>
        <w:rPr>
          <w:b w:val="0"/>
          <w:i w:val="0"/>
          <w:color w:val="595959"/>
          <w:sz w:val="17"/>
        </w:rPr>
        <w:t>[EN-sint] "The mayor Daniel Santana and deputy Josias Da Vitória inaugurated on Thursday morning (4th) the extension of the pavement of Avenida Oceano Atlântico on the north side of Guriri's waterfront. The ceremony took place on the sidewalk near the Guriri Beach water park. According to the Works Department, the pavement comprises a total of 18,247 square meters over an extension of 1.4 kilometers... The work is being constructed with funds from parliamentary amendments by federal deputy Da Vitória... with matching funds from the São Mateus Municipal Government."</w:t>
      </w:r>
    </w:p>
    <w:p>
      <w:pPr>
        <w:spacing w:after="120"/>
      </w:pPr>
      <w:r>
        <w:rPr>
          <w:b w:val="0"/>
          <w:i w:val="0"/>
          <w:sz w:val="17"/>
        </w:rPr>
        <w:t>Leitura: a Prefeitura inaugurou a extensão do calçamento da Av. Oceano Atlântico (orla norte): 18.247 m² em 1,4 km, com emendas federais (dep. Da Vitória) + contrapartida municipal.</w:t>
      </w:r>
    </w:p>
    <w:p>
      <w:pPr>
        <w:spacing w:after="120"/>
      </w:pPr>
      <w:r>
        <w:rPr>
          <w:b w:val="0"/>
          <w:i w:val="0"/>
          <w:sz w:val="17"/>
        </w:rPr>
        <w:t>[E22] URL: https://tconline.com.br/iniciada-a-urbanizacao-da-orla-de-guriri-no-lado-norte/ e https://correiocapixaba.com.br/public/publicacao/sao-mateus-inicia-as-obras-de-urbanizacao-da-orla-de-guriri-1679677187 e https://correio9.com.br/orla-de-guriri-obras-do-calcadao-ciclovia-e-passeio-avancam-na-av-oceano-atlantico/ e https://revistaekletica.com.br/revitalizacao-da-orla-de-guriri-continua-avancando/ | Fonte: TC Online / Correio Capixaba / Correio9 / Ekletica | Data: início mar/2023 (timestamp do Correio Capixaba = 24/03/2023); avanço ~70% em abril/2024 | (via snippet de busca; site bloqueado)</w:t>
      </w:r>
    </w:p>
    <w:p>
      <w:pPr>
        <w:spacing w:after="120"/>
      </w:pPr>
      <w:r>
        <w:rPr>
          <w:b w:val="0"/>
          <w:i w:val="0"/>
          <w:color w:val="595959"/>
          <w:sz w:val="17"/>
        </w:rPr>
        <w:t>[EN-sint] "The Municipality of São Mateus has begun paving Avenida Oceano Atlântico on the shoreline of Guriri on the north side, in the stretch near the Tamar Project... the project covering the stretch from the Guriri Beach aquatic park to near the boundary between São Mateus and Conceição da Barra. The urbanization includes 18,247 square meters of paving, 2,045 m² of bicycle path, 3,987 m² of boardwalk, and 550 m² of landscaping... About 70% of the complete urbanization project had been completed as of April 2024."</w:t>
      </w:r>
    </w:p>
    <w:p>
      <w:pPr>
        <w:spacing w:after="120"/>
      </w:pPr>
      <w:r>
        <w:rPr>
          <w:b w:val="0"/>
          <w:i w:val="0"/>
          <w:sz w:val="17"/>
        </w:rPr>
        <w:t>Leitura: urbanização municipal da orla (Av. Oceano Atlântico, lado norte, do parque aquático até perto da divisa com Conceição da Barra/Projeto Tamar): 18.247 m² de pavimentação + 2.045 m² de ciclovia + 3.987 m² de calçadão + 550 m² de paisagismo; ~70% executado em abril/2024.</w:t>
      </w:r>
    </w:p>
    <w:p>
      <w:pPr>
        <w:spacing w:after="120"/>
      </w:pPr>
      <w:r>
        <w:rPr>
          <w:b w:val="0"/>
          <w:i w:val="0"/>
          <w:sz w:val="17"/>
        </w:rPr>
        <w:t>[E23] URL: https://www.saomateus.es.gov.br/noticia/esta-nascendo-uma-nova-guriri- | Fonte: Prefeitura de São Mateus | Data: ~2025 (1ª fase prevista para meados de 2026) | (via snippet de busca; site bloqueado)</w:t>
      </w:r>
    </w:p>
    <w:p>
      <w:pPr>
        <w:spacing w:after="120"/>
      </w:pPr>
      <w:r>
        <w:rPr>
          <w:b w:val="0"/>
          <w:i w:val="0"/>
          <w:color w:val="595959"/>
          <w:sz w:val="17"/>
        </w:rPr>
        <w:t>[EN-sint] "A project to urbanize Avenida Oceano Atlântico began, adding 1,080 meters of boardwalk, new paving from the Center to the Water Park, storm drain galleries, 12 portals and nine pedestrian bridges with viewpoints and lifeguard structures. The boardwalk extension started on the North Side, adding 810 meters, and after that the South Side boardwalk will gain 270 meters. The first phase was expected to be completed by mid-2026. The work includes a 6.7-meter-wide boardwalk, curb and bicycle lane."</w:t>
      </w:r>
    </w:p>
    <w:p>
      <w:pPr>
        <w:spacing w:after="120"/>
      </w:pPr>
      <w:r>
        <w:rPr>
          <w:b w:val="0"/>
          <w:i w:val="0"/>
          <w:sz w:val="17"/>
        </w:rPr>
        <w:t>Leitura: nova fase municipal de urbanização da orla ("Está nascendo uma nova Guriri"): +1.080 m de calçadão (810 m lado Norte, depois 270 m lado Sul), novo pavimento do Centro ao Parque Aquático, galerias pluviais, 12 portais e 9 passarelas; 1ª fase prevista para meados de 2026; calçadão de 6,7 m com ciclovia. Ver também https://saomateus.es.gov.br/noticia/prefeito-acompanha-pessoalmente-obras-em-guriri (prefeito Daniel acompanha rua de lazer, rampas de acesso à praia com postos de guarda-vidas, ciclovia no centro e paisagismo).</w:t>
      </w:r>
    </w:p>
    <w:p>
      <w:pPr>
        <w:spacing w:after="120"/>
      </w:pPr>
      <w:r>
        <w:rPr>
          <w:b w:val="0"/>
          <w:i w:val="0"/>
          <w:sz w:val="17"/>
        </w:rPr>
        <w:t>[E24] URL: https://www.es.gov.br/Noticia/governo-inaugura-pavimentacao-de-trecho-da-es-010-e-avanca-em-grandes-obras-em-guriri (espelho: https://www.esfala.com.br/2025/11/02/casagrande-inaugura-pavimentacao-da-es-010-entre-barra-nova-e-guriri-e-anuncia-novos-investimentos-em-sao-mateus/ ; https://sitebarra.com.br/v8/governo-inaugura-pavimentacao-de-trecho-da-es-010-e-avanca-em-grandes-obras-em-guriri/) | Fonte: Governo ES / ES Fala | Data: 01/11/2025 | (via snippet de busca; site bloqueado)</w:t>
      </w:r>
    </w:p>
    <w:p>
      <w:pPr>
        <w:spacing w:after="120"/>
      </w:pPr>
      <w:r>
        <w:rPr>
          <w:b w:val="0"/>
          <w:i w:val="0"/>
          <w:color w:val="595959"/>
          <w:sz w:val="17"/>
        </w:rPr>
        <w:t>[EN-sint] "Governor Renato Casagrande and Vice-Governor Ricardo Ferraço inaugurated the paving works of the ES-010 highway between Barra Nova and Guriri in São Mateus on Saturday morning (November 1st). The state government invested R$ 31 million in paving with interlocking concrete blocks in urban segments of the ES-010 highway, covering an extension of 19.86 kilometers."</w:t>
      </w:r>
    </w:p>
    <w:p>
      <w:pPr>
        <w:spacing w:after="120"/>
      </w:pPr>
      <w:r>
        <w:rPr>
          <w:b w:val="0"/>
          <w:i w:val="0"/>
          <w:sz w:val="17"/>
        </w:rPr>
        <w:t>Leitura: o eixo rodoviário da ilha ao sul (ES-010 Barra Nova–Guriri, 19,86 km) foi pavimentado com blocos intertravados por R$ 31 milhões e inaugurado em 01/11/2025.</w:t>
      </w:r>
    </w:p>
    <w:p>
      <w:pPr>
        <w:spacing w:after="120"/>
      </w:pPr>
      <w:r>
        <w:rPr>
          <w:b w:val="0"/>
          <w:i w:val="0"/>
          <w:sz w:val="17"/>
        </w:rPr>
        <w:t>[E25] URL: https://der.es.gov.br/Not%C3%ADcia/duplicacao-der-es-interdita-trecho-da-rodovia-othovarino-duarte-santos-em-sao-mateus (contexto: https://www.agazeta.com.br/agora/rodovia-othovarino-duarte-santos-sera-interditada-para-obras-de-drenagem-em-sao-mateus-0426) | Fonte: DER-ES / A Gazeta | Data: 2025/2026 (conclusão prevista dez/2026) | (via snippet de busca; site bloqueado)</w:t>
      </w:r>
    </w:p>
    <w:p>
      <w:pPr>
        <w:spacing w:after="120"/>
      </w:pPr>
      <w:r>
        <w:rPr>
          <w:b w:val="0"/>
          <w:i w:val="0"/>
          <w:color w:val="595959"/>
          <w:sz w:val="17"/>
        </w:rPr>
        <w:t>[EN-sint] "The total project extends from the ES-010 junction in Guriri to the BR-101 junction in downtown São Mateus, totaling 12.06 kilometers, with an investment of R$ 92,127,958.37 and an execution period of 910 days. The completion target is December 2026. ... implementation, duplication, rehabilitation, accesses, bridges and operational improvements of highways ES-010 (accesses) and ES-315 (Othovarino Duarte Santos)."</w:t>
      </w:r>
    </w:p>
    <w:p>
      <w:pPr>
        <w:spacing w:after="120"/>
      </w:pPr>
      <w:r>
        <w:rPr>
          <w:b w:val="0"/>
          <w:i w:val="0"/>
          <w:sz w:val="17"/>
        </w:rPr>
        <w:t>Leitura: a ligação Guriri–sede (Rodovia Othovarino Duarte Santos / ES-315 + acessos da ES-010) está em duplicação/reabilitação: 12,06 km, R$ 92,1 milhões, 910 dias, conclusão prevista para dezembro/2026 (inclui a Ponte da Pedra D'água — ver https://www.es.gov.br/Noticia/ponte-da-pedra-d-agua-recebe-vigas-de-concreto-em-guriri).</w:t>
      </w:r>
    </w:p>
    <w:p>
      <w:pPr>
        <w:spacing w:after="120"/>
      </w:pPr>
      <w:r>
        <w:rPr>
          <w:b w:val="0"/>
          <w:i w:val="0"/>
          <w:sz w:val="17"/>
        </w:rPr>
        <w:t>[E26] URL: https://der.es.gov.br/Not%C3%ADcia/der-es-inicia-obra-de-revitalizacao-da-via-principal-de-guriri (espelhos: https://eshoje.com.br/geral/cidades/2025/08/principal-via-de-guriri-entrara-em-obras-a-partir-desta-segunda-25/ ; https://tconline.com.br/obras-do-der-es-na-rodovia-othovarino-tem-inicio-em-guriri/) | Fonte: DER-ES / ES Hoje | Data: ago/2025 (início 25/08/2025) | (via snippet de busca; site bloqueado)</w:t>
      </w:r>
    </w:p>
    <w:p>
      <w:pPr>
        <w:spacing w:after="120"/>
      </w:pPr>
      <w:r>
        <w:rPr>
          <w:b w:val="0"/>
          <w:i w:val="0"/>
          <w:color w:val="595959"/>
          <w:sz w:val="17"/>
        </w:rPr>
        <w:t>[EN-sint] "The Department of Buildings and Roads of Espírito Santo (DER-ES) began revitalization works on the Othovarino Duarte Santos Highway, the main road in Guriri, São Mateus, starting August 25. ... The interdictions are planned to occur at different points of the highway until the bridge over the Rio Mariricu, in different phases, lasting approximately 45 days."</w:t>
      </w:r>
    </w:p>
    <w:p>
      <w:pPr>
        <w:spacing w:after="120"/>
      </w:pPr>
      <w:r>
        <w:rPr>
          <w:b w:val="0"/>
          <w:i w:val="0"/>
          <w:sz w:val="17"/>
        </w:rPr>
        <w:t>Leitura: a "via principal de Guriri" (trecho urbano da Rodovia Othovarino Duarte Santos) entrou em revitalização a partir de 25/08/2025, em fases (~45 dias) até a ponte do Rio Mariricu — ou seja, o eixo principal já pavimentado passou por recuperação.</w:t>
      </w:r>
    </w:p>
    <w:p>
      <w:pPr>
        <w:spacing w:after="120"/>
      </w:pPr>
      <w:r>
        <w:rPr>
          <w:b w:val="0"/>
          <w:i w:val="0"/>
          <w:sz w:val="17"/>
        </w:rPr>
        <w:t>[E27] URL: documentos municipais indexados (Prefeitura/Câmara de São Mateus — https://saomateus.es.gov.br e https://camarasaomateus.es.gov.br) | Fonte: atos oficiais municipais | Data: diversas | (via snippet de busca; sites bloqueados)</w:t>
      </w:r>
    </w:p>
    <w:p>
      <w:pPr>
        <w:spacing w:after="120"/>
      </w:pPr>
      <w:r>
        <w:rPr>
          <w:b w:val="0"/>
          <w:i w:val="0"/>
          <w:color w:val="595959"/>
          <w:sz w:val="17"/>
        </w:rPr>
        <w:t>[EN-sint] "The search results reference several street paving initiatives in Guriri, including paving with concrete blocks of Rua Neuza Sibien Ruberth, south side, located in the Guriri neighborhood, and paving of Rua Professor Amaro Nascimento Mendes, south side, section between Ruas Colatina and Mucurici, in the Guriri neighborhood."</w:t>
      </w:r>
    </w:p>
    <w:p>
      <w:pPr>
        <w:spacing w:after="120"/>
      </w:pPr>
      <w:r>
        <w:rPr>
          <w:b w:val="0"/>
          <w:i w:val="0"/>
          <w:sz w:val="17"/>
        </w:rPr>
        <w:t>Leitura: atos municipais registram calçamento com blocos de concreto da Rua Neuza Sibien Ruberth (lado Sul) e pavimentação da Rua Professor Amaro Nascimento Mendes (lado Sul, trecho entre as Ruas Colatina e Mucurici) — exemplos do padrão histórico de pavimentação pontual, rua a rua.</w:t>
      </w:r>
    </w:p>
    <w:p>
      <w:pPr>
        <w:spacing w:after="120"/>
      </w:pPr>
      <w:r>
        <w:rPr>
          <w:b w:val="0"/>
          <w:i w:val="0"/>
          <w:sz w:val="17"/>
        </w:rPr>
        <w:t>[E28] URL: https://sedurb.es.gov.br/Not%C3%ADcia/governo-do-estado-inaugura-obras-e-anuncia-novos-investimentos-em-sao-mateus (família "Governo do Estado inaugura obras...") | Fonte: Sedurb/Governo ES | Data: ~2024 | (via snippet de busca; site bloqueado)</w:t>
      </w:r>
    </w:p>
    <w:p>
      <w:pPr>
        <w:spacing w:after="120"/>
      </w:pPr>
      <w:r>
        <w:rPr>
          <w:b w:val="0"/>
          <w:i w:val="0"/>
          <w:color w:val="595959"/>
          <w:sz w:val="17"/>
        </w:rPr>
        <w:t>[EN-sint] "Foram anunciadas obras de construção de ciclovia, calçada cidadã, canteiros verdes em diversas ruas, construção de passarelas de madeira acessíveis e perfuração de poços artesianos... no bairro Balneário de Guriri. Ao todo, o investimento é de R$ 8,2 milhões, por meio da Secretaria de Saneamento, Habitação e Desenvolvimento Urbano (Sedurb)." [trecho retornado em PT pela busca]</w:t>
      </w:r>
    </w:p>
    <w:p>
      <w:pPr>
        <w:spacing w:after="120"/>
      </w:pPr>
      <w:r>
        <w:rPr>
          <w:b w:val="0"/>
          <w:i w:val="0"/>
          <w:sz w:val="17"/>
        </w:rPr>
        <w:t>Leitura: pacote Sedurb de R$ 8,2 milhões para Guriri: ciclovia, calçada cidadã, canteiros, passarelas de madeira acessíveis e poços — urbanização complementar, não pavimentação de pista.</w:t>
      </w:r>
    </w:p>
    <w:p>
      <w:pPr>
        <w:spacing w:after="120"/>
      </w:pPr>
      <w:r>
        <w:rPr>
          <w:b w:val="0"/>
          <w:i w:val="0"/>
          <w:sz w:val="17"/>
        </w:rPr>
        <w:t>[E29] URL: https://sedu.es.gov.br/Noticia/sao-mateus-recebe-novas-obras-e-investimentos-do-governo-do-estado (família "São Mateus recebe novas obras", jun/2022) | Fonte: Governo ES | Data: jun/2022 | (via snippet de busca; site bloqueado)</w:t>
      </w:r>
    </w:p>
    <w:p>
      <w:pPr>
        <w:spacing w:after="120"/>
      </w:pPr>
      <w:r>
        <w:rPr>
          <w:b w:val="0"/>
          <w:i w:val="0"/>
          <w:color w:val="595959"/>
          <w:sz w:val="17"/>
        </w:rPr>
        <w:t>[EN-sint] "Through the Fundo Cidades, the State Government will transfer R$ 7.84 million to the Municipal Investment Fund of São Mateus for developing a portfolio of structural projects and conducting infrastructure works."</w:t>
      </w:r>
    </w:p>
    <w:p>
      <w:pPr>
        <w:spacing w:after="120"/>
      </w:pPr>
      <w:r>
        <w:rPr>
          <w:b w:val="0"/>
          <w:i w:val="0"/>
          <w:sz w:val="17"/>
        </w:rPr>
        <w:t>Leitura: o Fundo Cidades repassou R$ 7,84 milhões ao Fundo Municipal de Investimentos de São Mateus (2022) — fonte de recursos para obras municipais, sem lista de ruas de Guriri nos snippets.</w:t>
      </w:r>
    </w:p>
    <w:p>
      <w:pPr>
        <w:spacing w:after="120"/>
      </w:pPr>
      <w:r>
        <w:rPr>
          <w:b w:val="0"/>
          <w:i w:val="0"/>
          <w:sz w:val="17"/>
        </w:rPr>
      </w:r>
    </w:p>
    <w:p>
      <w:pPr>
        <w:spacing w:after="120" w:before="160"/>
      </w:pPr>
      <w:r>
        <w:rPr>
          <w:b/>
          <w:i w:val="0"/>
          <w:sz w:val="22"/>
        </w:rPr>
        <w:t>3. Contagem oficial de logradouros e nomes (bairros Guriri Norte e Guriri Sul)</w:t>
      </w:r>
    </w:p>
    <w:p>
      <w:pPr>
        <w:spacing w:after="120"/>
      </w:pPr>
      <w:r>
        <w:rPr>
          <w:b w:val="0"/>
          <w:i w:val="0"/>
          <w:sz w:val="17"/>
        </w:rPr>
        <w:t>[E30] URL: https://cepsbrasil.com.br/es/sao-mateus/guriri-norte e https://www.cepbusca.com.br/cep/es/sao-mateus/bairro/guriri-norte e https://www.cepconsulta.com.br/espirito-santo/sao-mateus/guriri-norte/ | Fonte: diretórios de CEP | Data: 2026 (consulta) | (via snippet de busca; sites bloqueados — cepsbrasil/achecep/buscaceprua constam da lista de egress bloqueado)</w:t>
      </w:r>
    </w:p>
    <w:p>
      <w:pPr>
        <w:spacing w:after="120"/>
      </w:pPr>
      <w:r>
        <w:rPr>
          <w:b w:val="0"/>
          <w:i w:val="0"/>
          <w:color w:val="595959"/>
          <w:sz w:val="17"/>
        </w:rPr>
        <w:t>[PT] "O bairro Guriri Norte está localizado na cidade de São Mateus - ES... o CEP do bairro Guriri Norte em São Mateus / ES é de 29946-010 até 29946-970."</w:t>
      </w:r>
    </w:p>
    <w:p>
      <w:pPr>
        <w:spacing w:after="120"/>
      </w:pPr>
      <w:r>
        <w:rPr>
          <w:b w:val="0"/>
          <w:i w:val="0"/>
          <w:color w:val="595959"/>
          <w:sz w:val="17"/>
        </w:rPr>
        <w:t>[EN-sint] "Currently, 70 CEPs have been found in the neighborhood, indicating 70 registered addresses." (cepsbrasil)</w:t>
      </w:r>
    </w:p>
    <w:p>
      <w:pPr>
        <w:spacing w:after="120"/>
      </w:pPr>
      <w:r>
        <w:rPr>
          <w:b w:val="0"/>
          <w:i w:val="0"/>
          <w:color w:val="595959"/>
          <w:sz w:val="17"/>
        </w:rPr>
        <w:t>[PT] "No bairro Guriri Norte da cidade de São Mateus ES há 69 endereço(s) cadastrado(s) com CEP." (cepconsulta)</w:t>
      </w:r>
    </w:p>
    <w:p>
      <w:pPr>
        <w:spacing w:after="120"/>
      </w:pPr>
      <w:r>
        <w:rPr>
          <w:b w:val="0"/>
          <w:i w:val="0"/>
          <w:color w:val="595959"/>
          <w:sz w:val="17"/>
        </w:rPr>
        <w:t>[EN-sint] "The neighborhood has a total of 17 logradouros." (cepbusca — base visivelmente incompleta)</w:t>
      </w:r>
    </w:p>
    <w:p>
      <w:pPr>
        <w:spacing w:after="120"/>
      </w:pPr>
      <w:r>
        <w:rPr>
          <w:b w:val="0"/>
          <w:i w:val="0"/>
          <w:sz w:val="17"/>
        </w:rPr>
        <w:t>Leitura: Guriri Norte = faixa de CEP 29946-010 a 29946-970, com ~70 logradouros/CEPs cadastrados (70 no cepsbrasil, 69 no cepconsulta); a contagem "17" do cepbusca é discrepante e provavelmente parcial. Compatível com a premissa de ~70 logradouros.</w:t>
      </w:r>
    </w:p>
    <w:p>
      <w:pPr>
        <w:spacing w:after="120"/>
      </w:pPr>
      <w:r>
        <w:rPr>
          <w:b w:val="0"/>
          <w:i w:val="0"/>
          <w:sz w:val="17"/>
        </w:rPr>
        <w:t>[E31] URL: https://www.ruacep.com.br/es/sao-mateus/guriri-sul/logradouros/ e https://cepsbrasil.com.br/es/sao-mateus/guriri-sul | Fonte: diretórios de CEP | Data: 2026 (consulta) | (via snippet de busca; sites bloqueados)</w:t>
      </w:r>
    </w:p>
    <w:p>
      <w:pPr>
        <w:spacing w:after="120"/>
      </w:pPr>
      <w:r>
        <w:rPr>
          <w:b w:val="0"/>
          <w:i w:val="0"/>
          <w:color w:val="595959"/>
          <w:sz w:val="17"/>
        </w:rPr>
        <w:t>[EN-sint] "The CEP range for the Guriri Sul neighborhood in São Mateus, ES is from 29945-010 to 29945-690. Currently, 74 CEPs have been found in the neighborhood. ... Page 4 of the listing contains 74 CEPs total in Guriri Sul."</w:t>
      </w:r>
    </w:p>
    <w:p>
      <w:pPr>
        <w:spacing w:after="120"/>
      </w:pPr>
      <w:r>
        <w:rPr>
          <w:b w:val="0"/>
          <w:i w:val="0"/>
          <w:sz w:val="17"/>
        </w:rPr>
        <w:t>Leitura: Guriri Sul = faixa de CEP 29945-010 a 29945-690, com 74 logradouros/CEPs cadastrados (listagem do ruacep em 4 páginas) — próximo da premissa de ~76.</w:t>
      </w:r>
    </w:p>
    <w:p>
      <w:pPr>
        <w:spacing w:after="120"/>
      </w:pPr>
      <w:r>
        <w:rPr>
          <w:b w:val="0"/>
          <w:i w:val="0"/>
          <w:sz w:val="17"/>
        </w:rPr>
        <w:t>[E32] URL: páginas individuais do ruacep.com.br / ceps.io / casadosdados / cepzap / guiamapa (Guriri Norte) | Fonte: diretórios de CEP | Data: 2026 | (via snippet de busca; sites bloqueados)</w:t>
      </w:r>
    </w:p>
    <w:p>
      <w:pPr>
        <w:spacing w:after="120"/>
      </w:pPr>
      <w:r>
        <w:rPr>
          <w:b w:val="0"/>
          <w:i w:val="0"/>
          <w:color w:val="595959"/>
          <w:sz w:val="17"/>
        </w:rPr>
        <w:t>[Nomes e CEPs de GURIRI NORTE capturados literalmente nos snippets:] "Rua José de Oliveira Brinco (29946-050); Rua Trinta e Nove (29946-060); Rua Douglas Lima (29946-250); Rua São Gabriel da Palha (29946-500); Rua Linhares (29946-520); Avenida Oceano Atlântico (29946-550); Avenida Décima Segunda (29946-560); Avenida Francisco Pereira de Carvalho (29946-570); Avenida Hélio Faria Santos (29946-580); Avenida Espera Feliz (29946-600); Rua Quarenta; Rua Quarenta e Um; Rua Quarenta e Dois; Rua Quarenta e Três; Rua São Daniel Comboni; Avenida Maria Tezolin Carrafa; Rodovia Othovarino Duarte Santos"</w:t>
      </w:r>
    </w:p>
    <w:p>
      <w:pPr>
        <w:spacing w:after="120"/>
      </w:pPr>
      <w:r>
        <w:rPr>
          <w:b w:val="0"/>
          <w:i w:val="0"/>
          <w:sz w:val="17"/>
        </w:rPr>
        <w:t>Leitura: amostra de 17 logradouros nominados de Guriri Norte via snippets, incluindo ruas numeradas por extenso (39 a 43) e avenidas com nome próprio e ordinal (Décima Segunda).</w:t>
      </w:r>
    </w:p>
    <w:p>
      <w:pPr>
        <w:spacing w:after="120"/>
      </w:pPr>
      <w:r>
        <w:rPr>
          <w:b w:val="0"/>
          <w:i w:val="0"/>
          <w:sz w:val="17"/>
        </w:rPr>
        <w:t>[E33] URL: páginas individuais do ruacep.com.br / procep / buscacep / codigo-postal.org (Guriri Sul) | Fonte: diretórios de CEP | Data: 2026 | (via snippet de busca; sites bloqueados)</w:t>
      </w:r>
    </w:p>
    <w:p>
      <w:pPr>
        <w:spacing w:after="120"/>
      </w:pPr>
      <w:r>
        <w:rPr>
          <w:b w:val="0"/>
          <w:i w:val="0"/>
          <w:color w:val="595959"/>
          <w:sz w:val="17"/>
        </w:rPr>
        <w:t>[Nomes e CEPs de GURIRI SUL capturados literalmente nos snippets:] "Rua Quarenta e Oito (29945-010); Rua Osmar Andrade Ayres (29945-020); Rua Albino Negris (29945-025); Rua Quarenta e Seis (29945-030); Rua Pedro Canário (29945-035); Rua Quarenta e Cinco (29945-040); Avenida Governador Eurico Vieira de Rezende (29945-060); Rua Petrobrás (29945-070); Rua Trinta e Seis (29945-120); Rua Geraldo Pinto (29945-200); Rua José Vieira dos Santos (29945-210); Rua Oldemar Faria Santos (29945-440); Rua Linhares (29945-480); Avenida Oceano Atlântico (29945-510); Avenida José de Oliveira Brinco (29945-530); Rua Mantenópolis (29945-620); Rua Vinte e Seis A (29945-670); Rua Onze A (29945-680)"</w:t>
      </w:r>
    </w:p>
    <w:p>
      <w:pPr>
        <w:spacing w:after="120"/>
      </w:pPr>
      <w:r>
        <w:rPr>
          <w:b w:val="0"/>
          <w:i w:val="0"/>
          <w:color w:val="595959"/>
          <w:sz w:val="17"/>
        </w:rPr>
        <w:t>[EN-sint] "The neighborhood also contains numerous avenues and streets such as Avenida Oceano Índico, Avenida Mar Negro, Avenida Praiana, Rua Conceição da Barra, Rua Boa Esperança, among many others."</w:t>
      </w:r>
    </w:p>
    <w:p>
      <w:pPr>
        <w:spacing w:after="120"/>
      </w:pPr>
      <w:r>
        <w:rPr>
          <w:b w:val="0"/>
          <w:i w:val="0"/>
          <w:sz w:val="17"/>
        </w:rPr>
        <w:t>Leitura: amostra de 23 logradouros nominados de Guriri Sul, com ruas numeradas por extenso (36, 45, 46, 48; variantes "A" como Onze A e Vinte e Seis A), ruas com nomes de municípios capixabas (Linhares, Pedro Canário, Mantenópolis, Nova Venécia, Conceição da Barra, Mucurici, Colatina — estas duas últimas evidenciadas em E13/E27) e avenidas temáticas de mar (Oceano Atlântico, Oceano Índico, Mar Negro, Praiana).</w:t>
      </w:r>
    </w:p>
    <w:p>
      <w:pPr>
        <w:spacing w:after="120"/>
      </w:pPr>
      <w:r>
        <w:rPr>
          <w:b w:val="0"/>
          <w:i w:val="0"/>
          <w:sz w:val="17"/>
        </w:rPr>
        <w:t>[E34] URL: consultas agregadas aos diretórios acima | Fonte: diretórios de CEP | Data: 2026 | (via snippet de busca; sites bloqueados)</w:t>
      </w:r>
    </w:p>
    <w:p>
      <w:pPr>
        <w:spacing w:after="120"/>
      </w:pPr>
      <w:r>
        <w:rPr>
          <w:b w:val="0"/>
          <w:i w:val="0"/>
          <w:color w:val="595959"/>
          <w:sz w:val="17"/>
        </w:rPr>
        <w:t>[EN-sint] "Rua Um and Rua Dois: These specific street names do not appear in the search results. Avenida Primeira: This street name does not appear in the results. Avenida Décima Primeira: This specific avenue does not appear, though Avenida Décima Segunda is listed with CEP 29946-560 in Guriri Norte."</w:t>
      </w:r>
    </w:p>
    <w:p>
      <w:pPr>
        <w:spacing w:after="120"/>
      </w:pPr>
      <w:r>
        <w:rPr>
          <w:b w:val="0"/>
          <w:i w:val="0"/>
          <w:sz w:val="17"/>
        </w:rPr>
        <w:t>Leitura: nos snippets de CEP não apareceram "Rua Um"/"Avenida Primeira"; a numeração observada de ruas vai pelo menos até a Rua Quarenta e Oito e a de avenidas pelo menos até a Décima Segunda (a Av. Décima Primeira é citada no anúncio da Bacia 1, E03).</w:t>
      </w:r>
    </w:p>
    <w:p>
      <w:pPr>
        <w:spacing w:after="120"/>
      </w:pPr>
      <w:r>
        <w:rPr>
          <w:b w:val="0"/>
          <w:i w:val="0"/>
          <w:sz w:val="17"/>
        </w:rPr>
      </w:r>
    </w:p>
    <w:p>
      <w:pPr>
        <w:spacing w:after="120" w:before="160"/>
      </w:pPr>
      <w:r>
        <w:rPr>
          <w:b/>
          <w:i w:val="0"/>
          <w:sz w:val="22"/>
        </w:rPr>
        <w:t>4. Loteamentos em implantação (Guriri e eixo Guriri–sede)</w:t>
      </w:r>
    </w:p>
    <w:p>
      <w:pPr>
        <w:spacing w:after="120"/>
      </w:pPr>
      <w:r>
        <w:rPr>
          <w:b w:val="0"/>
          <w:i w:val="0"/>
          <w:sz w:val="17"/>
        </w:rPr>
        <w:t>[E35] URL: https://saomateus.es.gov.br/uploads/legislacaoitens/hywpenxr60gba8dkqu7j9s13vl2t4f5izcmo.pdf | Fonte: Prefeitura de São Mateus (ato de aprovação de loteamento) | Data: não visível no snippet | (via snippet de busca; site bloqueado)</w:t>
      </w:r>
    </w:p>
    <w:p>
      <w:pPr>
        <w:spacing w:after="120"/>
      </w:pPr>
      <w:r>
        <w:rPr>
          <w:b w:val="0"/>
          <w:i w:val="0"/>
          <w:color w:val="595959"/>
          <w:sz w:val="17"/>
        </w:rPr>
        <w:t>[EN-sint] "The 'Pontal de Guriri II' subdivision is located in São Mateus, bordering Euretes Rieth to the north, Ocean Incorporadora e Urbanismo Ltda to the south, the Municipality of São Mateus to the east, and Avenida Scardini and Rua Abílio Duque de Lima to the west. The subdivision is composed of 92 lots. To guarantee basic infrastructure services, 36 lots were pledged through mortgage, including Quadra 01: Lots 01 to 12, Quadra 02: Lots 06 to 14, and Quadra 03: Lots 01 to 15. ... owned by the company JOAO BOSCO CEVOLANE LTDA and has an area of 44,371.01 m²... registration number 54,633, Book 2."</w:t>
      </w:r>
    </w:p>
    <w:p>
      <w:pPr>
        <w:spacing w:after="120"/>
      </w:pPr>
      <w:r>
        <w:rPr>
          <w:b w:val="0"/>
          <w:i w:val="0"/>
          <w:sz w:val="17"/>
        </w:rPr>
        <w:t>Leitura: o Loteamento Pontal de Guriri II (João Bosco Cevolane Ltda) tem 92 lotes em 44.371,01 m² (matrícula 54.633, L.2), com 36 lotes hipotecados ao Município como garantia da execução da infraestrutura básica — mecanismo que indica infraestrutura (inclusive vias) a cargo do loteador; confrontações: Av. Scardini e Rua Abílio Duque de Lima (oeste).</w:t>
      </w:r>
    </w:p>
    <w:p>
      <w:pPr>
        <w:spacing w:after="120"/>
      </w:pPr>
      <w:r>
        <w:rPr>
          <w:b w:val="0"/>
          <w:i w:val="0"/>
          <w:sz w:val="17"/>
        </w:rPr>
        <w:t>[E36] URL: https://www.somaurbanismo.com.br/soma-vibe/ e https://redenoticia.es/soma-urbanismo-anuncia-o-soma-vibe-novo-conceito-de-moradia-e-lazer-em-guriri/ e https://rafaelsilvestrecorretor.com.br/loteamento-soma-vibe-residencial/ | Fonte: Soma Urbanismo / Rede Notícia ES | Data: 2025/2026 (entrega prevista 2029) | (via snippet de busca; sites bloqueados)</w:t>
      </w:r>
    </w:p>
    <w:p>
      <w:pPr>
        <w:spacing w:after="120"/>
      </w:pPr>
      <w:r>
        <w:rPr>
          <w:b w:val="0"/>
          <w:i w:val="0"/>
          <w:color w:val="595959"/>
          <w:sz w:val="17"/>
        </w:rPr>
        <w:t>[EN-sint] "Residencial Soma Vibe is an open subdivision located in Guriri, São Mateus, positioned two minutes from the beach and Rio Mariricu... The Soma Vibe will offer a total of 406 lots: 386 residential (with a standard of 250 m²) and 20 mixed-use commercial (with a standard of 485 m²). The open subdivision has complete infrastructure in north Guriri, featuring paved streets, drainage, water network, electricity, sewage, public lighting... The project occupies a total area of more than 158 thousand m²... with delivery expected in 2029."</w:t>
      </w:r>
    </w:p>
    <w:p>
      <w:pPr>
        <w:spacing w:after="120"/>
      </w:pPr>
      <w:r>
        <w:rPr>
          <w:b w:val="0"/>
          <w:i w:val="0"/>
          <w:sz w:val="17"/>
        </w:rPr>
        <w:t>Leitura: Soma Vibe (Guriri, lado norte): 406 lotes (386 residenciais de ~250 m² + 20 comerciais de ~485 m²) em &gt;158 mil m², com ruas internas PAVIMENTADAS pelo loteador (infraestrutura completa: drenagem, água, esgoto, iluminação); entrega prevista para 2029. A Soma Urbanismo também anunciou o "Prestige Guriri", de alto padrão (https://tconline.com.br/prestige-guriri-soma-urbanismo-lancara-empreendimento-de-alto-padrao-em-sao-mateus/).</w:t>
      </w:r>
    </w:p>
    <w:p>
      <w:pPr>
        <w:spacing w:after="120"/>
      </w:pPr>
      <w:r>
        <w:rPr>
          <w:b w:val="0"/>
          <w:i w:val="0"/>
          <w:sz w:val="17"/>
        </w:rPr>
        <w:t>[E37] URL: https://rafaelsilvestrecorretor.weebly.com/home/lotes-a-venda-na-quadra-01-do-loteamento-mar-aberto-guriri-sul | Fonte: corretor local (oferta) | Data: s/d | (via snippet de busca; site bloqueado)</w:t>
      </w:r>
    </w:p>
    <w:p>
      <w:pPr>
        <w:spacing w:after="120"/>
      </w:pPr>
      <w:r>
        <w:rPr>
          <w:b w:val="0"/>
          <w:i w:val="0"/>
          <w:color w:val="595959"/>
          <w:sz w:val="17"/>
        </w:rPr>
        <w:t>[EN-sint] "The lots are located in the Mar Aberto Loteamento in Guriri's south side, in block 01, approximately 300 meters from the beach. The development has complete infrastructure including water and electricity networks, daily bus service, municipal garbage collection, internet, and three exits to São Mateus. The lots (05 and 06) in block 01 measure 12 meters in width by 25 meters in depth, totaling 300 square meters... Lot 06 faces east on Rua Nova Venécia, while lot 05 faces west on Rua São Gabriel da Palha."</w:t>
      </w:r>
    </w:p>
    <w:p>
      <w:pPr>
        <w:spacing w:after="120"/>
      </w:pPr>
      <w:r>
        <w:rPr>
          <w:b w:val="0"/>
          <w:i w:val="0"/>
          <w:sz w:val="17"/>
        </w:rPr>
        <w:t>Leitura: Loteamento Mar Aberto (lado sul de Guriri, ~300 m da praia): lotes de 300 m² (12x25) na quadra 01, entre a Rua Nova Venécia e a Rua São Gabriel da Palha; a "infraestrutura completa" anunciada NÃO menciona pavimentação — indício de ruas internas ainda sem calçamento.</w:t>
      </w:r>
    </w:p>
    <w:p>
      <w:pPr>
        <w:spacing w:after="120"/>
      </w:pPr>
      <w:r>
        <w:rPr>
          <w:b w:val="0"/>
          <w:i w:val="0"/>
          <w:sz w:val="17"/>
        </w:rPr>
        <w:t>[E38] URL: https://veraovermelho.com.br/ e http://wikimapia.org/15604780/pt/Loteamento-Ver%C3%A3o-Vermelho-Guriri | Fonte: site do loteamento | Data: s/d | (via snippet de busca; site bloqueado)</w:t>
      </w:r>
    </w:p>
    <w:p>
      <w:pPr>
        <w:spacing w:after="120"/>
      </w:pPr>
      <w:r>
        <w:rPr>
          <w:b w:val="0"/>
          <w:i w:val="0"/>
          <w:color w:val="595959"/>
          <w:sz w:val="17"/>
        </w:rPr>
        <w:t>[EN-sint] "It was approved by the Municipal Prefect of São Mateus/ES through Decree No. 833/02 on 11/01/2000 and registered at matricula 16.265 of the real estate registry office of the comarca of São Mateus/ES. The Verão Vermelho offers commercial and residential lots starting from 300 m², with an open loteamento ready for construction... The loteamento is still undeveloped but promises significant growth in the coming years. Lots are being sold in the southern Guriri region, with prices ranging from R$30,000 to R$120,000."</w:t>
      </w:r>
    </w:p>
    <w:p>
      <w:pPr>
        <w:spacing w:after="120"/>
      </w:pPr>
      <w:r>
        <w:rPr>
          <w:b w:val="0"/>
          <w:i w:val="0"/>
          <w:sz w:val="17"/>
        </w:rPr>
        <w:t>Leitura: Loteamento Verão Vermelho (região sul de Guriri): aprovado pelo Decreto nº 833/02 (data citada no site: 11/01/2000 — datas do próprio site são inconsistentes entre si), matrícula 16.265; lotes de 300 m²+, ainda pouco urbanizado.</w:t>
      </w:r>
    </w:p>
    <w:p>
      <w:pPr>
        <w:spacing w:after="120"/>
      </w:pPr>
      <w:r>
        <w:rPr>
          <w:b w:val="0"/>
          <w:i w:val="0"/>
          <w:sz w:val="17"/>
        </w:rPr>
        <w:t>[E39] URL: https://portalguriri.com.br/comprar-lote-no-bosque/ e https://www.agazeta.com.br/colunas/metro-quadrado/praia-da-costa-mata-da-praia-e-guriri-registram-lancamentos-imobiliarios-em-maio-0526 e https://www.agazeta.com.br/colunas/metro-quadrado/sao-mateus-vai-receber-primeiro-loteamento-rural-com-areas-de-20-mil-m-0324 | Fonte: Portal Guriri / A Gazeta (coluna Metro Quadrado) | Data: 2024–2026 | (via snippet de busca; sites bloqueados)</w:t>
      </w:r>
    </w:p>
    <w:p>
      <w:pPr>
        <w:spacing w:after="120"/>
      </w:pPr>
      <w:r>
        <w:rPr>
          <w:b w:val="0"/>
          <w:i w:val="0"/>
          <w:color w:val="595959"/>
          <w:sz w:val="17"/>
        </w:rPr>
        <w:t>[EN-sint] "The Bosque area features flat streets that don't flood and includes Dutch-style paving, potable water, sewer network, and rainwater drainage." (Residencial Bom Jesus / Bosque, no eixo Guriri–sede)</w:t>
      </w:r>
    </w:p>
    <w:p>
      <w:pPr>
        <w:spacing w:after="120"/>
      </w:pPr>
      <w:r>
        <w:rPr>
          <w:b w:val="0"/>
          <w:i w:val="0"/>
          <w:color w:val="595959"/>
          <w:sz w:val="17"/>
        </w:rPr>
        <w:t>[Título literal] "Praia da Costa, Mata da Praia e Guriri registram lançamentos imobiliários em maio" (A Gazeta, maio/2026)</w:t>
      </w:r>
    </w:p>
    <w:p>
      <w:pPr>
        <w:spacing w:after="120"/>
      </w:pPr>
      <w:r>
        <w:rPr>
          <w:b w:val="0"/>
          <w:i w:val="0"/>
          <w:sz w:val="17"/>
        </w:rPr>
        <w:t>Leitura: no eixo Guriri–sede há o Residencial Bom Jesus (bairro Bosque) vendendo lotes com ruas já pavimentadas ("pavimentação tipo holandesa" conforme snippet), e A Gazeta registra Guriri entre os polos de lançamentos imobiliários recentes do ES.</w:t>
      </w:r>
    </w:p>
    <w:p>
      <w:pPr>
        <w:spacing w:after="120"/>
      </w:pPr>
      <w:r>
        <w:rPr>
          <w:b w:val="0"/>
          <w:i w:val="0"/>
          <w:sz w:val="17"/>
        </w:rPr>
      </w:r>
    </w:p>
    <w:p>
      <w:pPr>
        <w:spacing w:after="120" w:before="160"/>
      </w:pPr>
      <w:r>
        <w:rPr>
          <w:b/>
          <w:i w:val="0"/>
          <w:sz w:val="22"/>
        </w:rPr>
        <w:t>5. Contexto físico e viário</w:t>
      </w:r>
    </w:p>
    <w:p>
      <w:pPr>
        <w:spacing w:after="120"/>
      </w:pPr>
      <w:r>
        <w:rPr>
          <w:b w:val="0"/>
          <w:i w:val="0"/>
          <w:sz w:val="17"/>
        </w:rPr>
        <w:t>[E40] URL: https://esbrasil.com.br/ilha-de-guriri-e-paraiso-natural-em-sao-mateus/ e https://www.agazeta.com.br/es/norte/os-encantos-da-ilha-de-guriri-no-norte-do-espirito-santo-0120 e https://www.saomateus.es.gov.br/sao-mateus/hidrografia | Fonte: ES Brasil / A Gazeta / Prefeitura | Data: diversas | (via snippet de busca; sites bloqueados)</w:t>
      </w:r>
    </w:p>
    <w:p>
      <w:pPr>
        <w:spacing w:after="120"/>
      </w:pPr>
      <w:r>
        <w:rPr>
          <w:b w:val="0"/>
          <w:i w:val="0"/>
          <w:color w:val="595959"/>
          <w:sz w:val="17"/>
        </w:rPr>
        <w:t>[PT] "A Ilha de Guriri tem 42 km de extensão de praia, embora algumas fontes mencionem 44 km de extensão. A ilha possui 102 quilômetros quadrados. ... A parte norte da ilha pertence ao município de Conceição da Barra, enquanto a parte sul está em São Mateus. Há a praia de Barra Nova, localizada no extremo sul da ilha, onde o Rio Mariricu encontra o mar. ... É a maior ilha do Estado do Espírito Santo."</w:t>
      </w:r>
    </w:p>
    <w:p>
      <w:pPr>
        <w:spacing w:after="120"/>
      </w:pPr>
      <w:r>
        <w:rPr>
          <w:b w:val="0"/>
          <w:i w:val="0"/>
          <w:sz w:val="17"/>
        </w:rPr>
        <w:t>Leitura: a ilha de Guriri tem ~42 km de extensão (fontes citam até 44 km) e ~102 km², sendo a maior ilha do ES; o balneário/bairro urbano de São Mateus ocupa apenas parte dela — o restante são praias como Barra Nova (sul, foz do Mariricu) e, ao norte, Conceição da Barra.</w:t>
      </w:r>
    </w:p>
    <w:p>
      <w:pPr>
        <w:spacing w:after="120"/>
      </w:pPr>
      <w:r>
        <w:rPr>
          <w:b w:val="0"/>
          <w:i w:val="0"/>
          <w:sz w:val="17"/>
        </w:rPr>
        <w:t>[E41] Consolidação toponímica a partir de E32/E33/E03 | Fonte: diretórios de CEP + release Bacia 1 | Data: 2026</w:t>
      </w:r>
    </w:p>
    <w:p>
      <w:pPr>
        <w:spacing w:after="120"/>
      </w:pPr>
      <w:r>
        <w:rPr>
          <w:b w:val="0"/>
          <w:i w:val="0"/>
          <w:color w:val="595959"/>
          <w:sz w:val="17"/>
        </w:rPr>
        <w:t>[Registro literal dos nomes coletados:] "Avenida Quinta; Avenida Nona; Avenida Décima Primeira; Avenida Décima Segunda; Rua XXI; Rua Vinte e Seis A; Rua Trinta e Seis; Rua Trinta e Nove; Rua Quarenta; Rua Quarenta e Um; Rua Quarenta e Dois; Rua Quarenta e Três; Rua Quarenta e Cinco; Rua Quarenta e Seis; Rua Quarenta e Oito; Rua Onze A"</w:t>
      </w:r>
    </w:p>
    <w:p>
      <w:pPr>
        <w:spacing w:after="120"/>
      </w:pPr>
      <w:r>
        <w:rPr>
          <w:b w:val="0"/>
          <w:i w:val="0"/>
          <w:sz w:val="17"/>
        </w:rPr>
        <w:t>Leitura: a malha tem avenidas ordinais comprovadas pelo menos até a "Décima Segunda" (12ª) e ruas numeradas comprovadas pelo menos até a "Quarenta e Oito" (48) com variantes "A" — a numeração real ultrapassa as premissas "até a 11ª avenida" e "até a 31ª rua"; a numeração das ruas parece crescer do norte (menores no Norte? não estabelecido) e reiniciar/continuar entre os dois bairros (Rua 36 e 45-48 no Sul; 39-43 no Norte), sem fonte que explique o sistema.</w:t>
      </w:r>
    </w:p>
    <w:p>
      <w:pPr>
        <w:spacing w:after="120"/>
      </w:pPr>
      <w:r>
        <w:rPr>
          <w:b w:val="0"/>
          <w:i w:val="0"/>
          <w:sz w:val="17"/>
        </w:rPr>
        <w:t>[E42] URL: https://der.es.gov.br/Not%C3%ADcia/sao-mateus-governo-do-estado-entrega-obras-e-anuncia-novos-investimentos-para-o-municipio (família nov/2025) | Fonte: DER-ES / Governo ES | Data: nov/2025 | (via snippet de busca; site bloqueado)</w:t>
      </w:r>
    </w:p>
    <w:p>
      <w:pPr>
        <w:spacing w:after="120"/>
      </w:pPr>
      <w:r>
        <w:rPr>
          <w:b w:val="0"/>
          <w:i w:val="0"/>
          <w:color w:val="595959"/>
          <w:sz w:val="17"/>
        </w:rPr>
        <w:t>[EN-sint] "Guriri Bypass: The project includes the development of basic and executive engineering projects and the execution of the ES-318 highway, connecting the BR-101 to the intersections of the ES-315 and ES-010 highways (Guriri Bypass), with a length of 24.26 kilometers and investment of R$ 164 million."</w:t>
      </w:r>
    </w:p>
    <w:p>
      <w:pPr>
        <w:spacing w:after="120"/>
      </w:pPr>
      <w:r>
        <w:rPr>
          <w:b w:val="0"/>
          <w:i w:val="0"/>
          <w:sz w:val="17"/>
        </w:rPr>
        <w:t>Leitura: além das obras internas, está contratado o Contorno de Guriri (ES-318): 24,26 km ligando a BR-101 aos entroncamentos da ES-315 e ES-010, por R$ 164 milhões — novo acesso rodoviário ao balneário.</w:t>
      </w:r>
    </w:p>
    <w:p>
      <w:pPr>
        <w:spacing w:after="120"/>
      </w:pPr>
      <w:r>
        <w:rPr>
          <w:b w:val="0"/>
          <w:i w:val="0"/>
          <w:sz w:val="17"/>
        </w:rPr>
        <w:t>[E43] Contexto de enchentes | URL: https://www.agazeta.com.br/es/cotidiano/temporal-em-sao-mateus-faz-guriri-amanhecer-com-avenidas-alagadas-1223 | Fonte: A Gazeta | Data: dez/2023 (pelo sufixo -1223) | (via snippet de busca; site bloqueado)</w:t>
      </w:r>
    </w:p>
    <w:p>
      <w:pPr>
        <w:spacing w:after="120"/>
      </w:pPr>
      <w:r>
        <w:rPr>
          <w:b w:val="0"/>
          <w:i w:val="0"/>
          <w:color w:val="595959"/>
          <w:sz w:val="17"/>
        </w:rPr>
        <w:t>[Título literal] "Temporal em São Mateus faz Guriri amanhecer com avenidas alagadas"</w:t>
      </w:r>
    </w:p>
    <w:p>
      <w:pPr>
        <w:spacing w:after="120"/>
      </w:pPr>
      <w:r>
        <w:rPr>
          <w:b w:val="0"/>
          <w:i w:val="0"/>
          <w:sz w:val="17"/>
        </w:rPr>
        <w:t>Leitura: registro jornalístico dos alagamentos recorrentes que motivam o programa de macrodrenagem (avenidas alagadas após temporal, dez/2023).</w:t>
      </w:r>
    </w:p>
    <w:p>
      <w:pPr>
        <w:spacing w:after="120"/>
      </w:pPr>
      <w:r>
        <w:rPr>
          <w:b w:val="0"/>
          <w:i w:val="0"/>
          <w:sz w:val="17"/>
        </w:rPr>
      </w:r>
    </w:p>
    <w:p>
      <w:pPr>
        <w:spacing w:after="120" w:before="160"/>
      </w:pPr>
      <w:r>
        <w:rPr>
          <w:b/>
          <w:i w:val="0"/>
          <w:sz w:val="22"/>
        </w:rPr>
        <w:t>6. Lacunas (o que NÃO foi possível estabelecer e por quê)</w:t>
      </w:r>
    </w:p>
    <w:p>
      <w:pPr>
        <w:spacing w:after="120"/>
      </w:pPr>
      <w:r>
        <w:rPr>
          <w:b w:val="0"/>
          <w:i w:val="0"/>
          <w:sz w:val="17"/>
        </w:rPr>
        <w:t>1. Fetch bloqueado em 100% dos domínios tentados — der.es.gov.br, es.gov.br, sedurb.es.gov.br, saomateus.es.gov.br, tconline.com.br, hojees.com.br, emdiaes.com.br, sitebarra.com.br e ruacep.com.br retornaram EGRESS_BLOCKED, ao contrário do esperado. Toda a evidência é de snippets de busca; os trechos [EN-sint] são sínteses da camada de busca, não o texto original das matérias. Recomenda-se revalidar citações textuais quando o acesso for restabelecido.</w:t>
      </w:r>
    </w:p>
    <w:p>
      <w:pPr>
        <w:spacing w:after="120"/>
      </w:pPr>
      <w:r>
        <w:rPr>
          <w:b w:val="0"/>
          <w:i w:val="0"/>
          <w:sz w:val="17"/>
        </w:rPr>
        <w:t>2. Lista completa de ruas da Bacia 1: o anúncio oficial cita apenas 4 avenidas (Décima Primeira, Nona, Esbertalina Barbosa Damiani, Hélio Faria Santos) "além de ruas estratégicas" (E03). O anexo do edital (com a relação de vias e a poligonal da bacia) não é alcançável por snippet; o número do edital e a data exata de publicação no DIO-ES não apareceram.</w:t>
      </w:r>
    </w:p>
    <w:p>
      <w:pPr>
        <w:spacing w:after="120"/>
      </w:pPr>
      <w:r>
        <w:rPr>
          <w:b w:val="0"/>
          <w:i w:val="0"/>
          <w:sz w:val="17"/>
        </w:rPr>
        <w:t>3. Delimitação cartográfica precisa das bacias 1, 2 e 3 (ex.: "da Avenida X até a Rua Y"): nenhuma matéria pública traz a poligonal; só se estabelece Bacia 2 = lado Sul e Bacia 1 = lado Norte.</w:t>
      </w:r>
    </w:p>
    <w:p>
      <w:pPr>
        <w:spacing w:after="120"/>
      </w:pPr>
      <w:r>
        <w:rPr>
          <w:b w:val="0"/>
          <w:i w:val="0"/>
          <w:sz w:val="17"/>
        </w:rPr>
        <w:t>4. Bacia 3: sem escopo, área, valor estimado ou cronograma publicados; único registro é "não tem previsão para começar" (E18).</w:t>
      </w:r>
    </w:p>
    <w:p>
      <w:pPr>
        <w:spacing w:after="120"/>
      </w:pPr>
      <w:r>
        <w:rPr>
          <w:b w:val="0"/>
          <w:i w:val="0"/>
          <w:sz w:val="17"/>
        </w:rPr>
        <w:t>5. m² de pavimentação da Bacia 2: não publicado — as fontes citam km de galerias (10,6 km; ou 8,2 km de extensão em E16) e "pavimentação sobre a macrodrenagem + calçada cidadã", sem metragem quadrada.</w:t>
      </w:r>
    </w:p>
    <w:p>
      <w:pPr>
        <w:spacing w:after="120"/>
      </w:pPr>
      <w:r>
        <w:rPr>
          <w:b w:val="0"/>
          <w:i w:val="0"/>
          <w:sz w:val="17"/>
        </w:rPr>
        <w:t>6. Percentual de avanço mais atual (meados de 2026): o último número público é "&gt;25%" (E07); não foi encontrado valor atualizado pós-março/2026.</w:t>
      </w:r>
    </w:p>
    <w:p>
      <w:pPr>
        <w:spacing w:after="120"/>
      </w:pPr>
      <w:r>
        <w:rPr>
          <w:b w:val="0"/>
          <w:i w:val="0"/>
          <w:sz w:val="17"/>
        </w:rPr>
        <w:t>7. Histórico rua a rua do calçamento municipal (~2015–2021): o site da Prefeitura está bloqueado e as matérias antigas não aparecem em snippets; só se recuperaram exemplos pontuais (E20, E21, E27). Não foi possível montar o inventário completo do "já calçado".</w:t>
      </w:r>
    </w:p>
    <w:p>
      <w:pPr>
        <w:spacing w:after="120"/>
      </w:pPr>
      <w:r>
        <w:rPr>
          <w:b w:val="0"/>
          <w:i w:val="0"/>
          <w:sz w:val="17"/>
        </w:rPr>
        <w:t>8. Contagem oficial dos Correios: as bases diretas (Correios/IBGE) estão bloqueadas; as contagens vêm de diretórios privados e divergem (Guriri Norte: 70 vs 69 vs "17"; Guriri Sul: 74 vs premissa de ~76). Dos ~144-150 logradouros, só ~45 nomes foram capturados em snippets.</w:t>
      </w:r>
    </w:p>
    <w:p>
      <w:pPr>
        <w:spacing w:after="120"/>
      </w:pPr>
      <w:r>
        <w:rPr>
          <w:b w:val="0"/>
          <w:i w:val="0"/>
          <w:sz w:val="17"/>
        </w:rPr>
        <w:t>9. "Portal do Ribeirão" em São Mateus: não confirmado — as buscas só retornaram loteamento homônimo em Florianópolis/SC; se existir no eixo Guriri–sede, não tem presença indexada. (Há bairro "Morada do Ribeirão" em São Mateus, citado em E20.)</w:t>
      </w:r>
    </w:p>
    <w:p>
      <w:pPr>
        <w:spacing w:after="120"/>
      </w:pPr>
      <w:r>
        <w:rPr>
          <w:b w:val="0"/>
          <w:i w:val="0"/>
          <w:sz w:val="17"/>
        </w:rPr>
        <w:t>10. Datas exatas de algumas matérias: vários snippets não trazem ano (ex.: inauguração da orla norte "quinta-feira (4)" em E21; matéria Sedurb de E20). Datas anotadas como aproximadas foram inferidas de contexto e marcadas como tal.</w:t>
      </w:r>
    </w:p>
    <w:p>
      <w:pPr>
        <w:spacing w:after="120"/>
      </w:pPr>
      <w:r>
        <w:rPr>
          <w:b w:val="0"/>
          <w:i w:val="0"/>
          <w:sz w:val="17"/>
        </w:rPr>
        <w:t>11. Extensão viária total do bairro (km de vias urbanas de Guriri): nenhum número oficial encontrado em nenhuma fonte.</w:t>
      </w:r>
    </w:p>
    <w:p>
      <w:pPr>
        <w:spacing w:after="120"/>
      </w:pPr>
      <w:r>
        <w:rPr>
          <w:b w:val="0"/>
          <w:i w:val="0"/>
          <w:sz w:val="17"/>
        </w:rPr>
        <w:t>12. Asfalto vs. blocos no eixo comercial (Av. Esbertalina Barbosa Damiani): as fontes confirmam obras de drenagem/pavimentação nela (E12) e revitalização da via principal (E26), mas não especificam o revestimento atual de cada trecho.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