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</w:t>
      </w:r>
      <w:r>
        <w:rPr>
          <w:color w:val="C00000"/>
        </w:rPr>
        <w:t xml:space="preserve"> A régua é lida em R$ por TONELADA ENTREGUE, e não por tonelada-quilômetro: a vantagem é R$ 0,91/t·km — coeficiente da tabela de frete praticada pela unidade do grupo em operação (“Carreta: 0,91 × volume (T) × KM”) — aplicado à diferença de distância rodoviária medida, isto é, (66,8 − 40,7) × 0,91 = R$ 23,8/t contra Pinheiros, (75,5 − 40,7) × 0,91 = R$ 31,7/t contra Nova Venécia e (57,1 − 40,7) × 0,91 = R$ 14,9/t contra Jaguaré.</w:t>
      </w:r>
      <w:r>
        <w:t xml:space="preserve">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139–223 mil t/ano de demanda de produtos de britagem durante a janela de obras — fração derivada das composições de cada frente, e não do coeficiente nacional de 42% que a versão anterior aplicava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637 pontos verificados um a um em campo virtual (517 em Street View e 120 em satélite), todos listados individualmente com coordenada e data de imagem: 193,4 km em 437 trechos de via, das quais apenas 26,6% pavimentadas. Faltam 1.216.547 m² de pista — área pela caixa de via de cada planta — e 554.203 m² de calçada — 874–1.144 mil t de agregados, dos quais 751–951 mil t de produtos de britagem, pela banda composicional das tabelas oficiais DER-ES/SINAPI (memória anexa; 704–892 mil t pelo piso de largura declarado) —, espalhados por cerca de uma década pela própria lógica construtiva (pavimenta-se depois de drenar, bacia a bacia; a Bacia 1 corre por 1.620 dias), estoque do qual as projeções de receita NÃO contabilizam nenhuma tonelada, e ao qual esta carta deliberadamente não atribui volume anual nem prazo — o ritmo depende de decisão orçamentária do Estado e do Município; o que se afirma é a existência e a magnitude, equivalentes a 3,2 a 4,0 anos de produção integral da unidade no platô — e as Bacias 1 e 2 cobrem só 20,5% da pista que falta, restando 43 anos de pavimentação ao ritmo contratual do Estado (22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(139–223 mil t/ano): 489–701 mil t/ano. Contra essa base, o platô de 237.516 t/ano representa 34% a 49%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248–319 mil t/ano — faixa cujo PISO já supera o platô de 237.516 t/ano, de modo que a restrição do projeto passa a ser de capacidade de produção, e não de mercado.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