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 por tonelada entregue)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(139–223 mil t/ano) — o mercado endereçável situa-se entre 489–701 mil t/ano. A faixa anterior, de 421–577, tinha dois problemas, ambos apontados por auditoria cega: subestimava a camada de obras, por usar o coeficiente de 42% da ANEPAC no lugar da composição real das frentes (item 6.3); e o próprio total não fechava com os componentes que este item lista — quem os somasse chegava a 420–578, e não a 421–577. Desde esta versão o endereçável é SOMADO das camadas acima, e não herdado de um total anterior. Pedro Canário e a franja norte permanecem fora: há vazio de oferta local, mas a desvantagem de frete de R$ 28 a 35/t não é compensável, e o estudo lhes atribui peso zero. É contra a faixa de 489–701 mil t/ano, e não contra a linha de base, que a participação do platô deve ser lida. Três leituras vão declaradas, para que o analista não precise construí-las por conta própria. PRIMEIRA — a participação de entrada, contra o endereçável de hoje: 34% a 49%. SEGUNDA — a participação AO LONGO DO PRAZO: o platô é fixo em 237.516 t/ano e o mercado cresce ao vegetativo setorial de ~5% a.a. (ANEPAC), de modo que, encerrada a janela de obras, o endereçável recua ao seu componente estrutural (350–478 mil t/ano) e o crescimento vegetativo o recompõe, levando a participação do platô a 26%–36% no ano 14 — premissa de crescimento declarada, e a foto do ano 1 mantida como número conservador de entrada. TERCEIRA — a leitura mais dura, que retira do endereçável as duas praças-sede de concorrente (Nova Venécia e Pinheiros, 64–129 mil t/ano): a base cai para 425–572 mil t/ano e a participação de entrada sobe para 42%–56%. Publica-se essa subtração porque ela é a primeira que um analista cético faz, e porque o projeto sobrevive a ela.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>Somadas, as frentes representam, em ordem de grandeza, 700 a 950 mil toneladas de agregado, distribuídas ao longo dos prazos de obra (3 a 4,5 anos; a Bacia 1, contratada por 1.620 dias, avança até ~2031). Desse volume, 79% a 94% corresponde a PRODUTOS DE BRITAGEM — brita graduada, britas 0/1/2, pedrisco, pó de pedra, bica corrida e rachão —, fração derivada frente a frente das composições oficiais e conferida por auditoria independente (memória anexa, frase 2). Equivale a 556 a 894 mil toneladas no período, ou 139–223 mil t/ano de demanda extraordinária enquanto as obras correm. A versão anterior deste estudo aplicava aqui o coeficiente único de 42% da ANEPAC, que mede a participação da brita na PRODUÇÃO NACIONAL de agregados — média puxada por edificação, intensiva em areia natural — e subestimava a demanda destas obras em 1,89× a 2,24× — acima da própria demanda corrente da sede. Somam-se ainda o Fundo Cidades (~R$ 59 mi), a requalificação do Sítio Histórico do Porto (&gt;R$ 10 mi), a reforma do Mercado Municipal e a Bacia 3 da macrodrenagem, ainda por licitar.</w:t>
      </w:r>
      <w:r>
        <w:rPr>
          <w:color w:val="C00000"/>
        </w:rPr>
        <w:t xml:space="preserve"> Um risco acompanha esta camada, e vai declarado: em obra rodoviária de porte é prática consolidada a construtora instalar BRITAGEM MÓVEL em jazida junto ao traçado, suprindo-se a si mesma. Se isso ocorrer no Contorno ES-318, 241 mil t — 25% do que estas frentes consomem — saem do mercado endereçável. A mitigação é verificável antes do protocolo: levantar no SIGMINE as jazidas licenciadas ao longo do traçado e checar se a construtora já tem área ou contrato de fornecimento na região (memória anexa, frase 2).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139–223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34%–49% do mercado endereçável de 489–701 mil t/ano (item 6.2). Pela via de baixo para cima, a captura ponderada pelos pesos de penetração do item 8 resulta em 248–319 mil t/ano — faixa cujo PISO já supera o platô de 237,5 mil t/ano, de modo que a restrição do projeto passa a ser de capacidade de produção, e não de mercado —,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489–701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(139–223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248–319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os 437 trechos de via dos 21 loteamentos sobre as plantas e a planilha oficial de loteamentos da Prefeitura, e estabeleceu a situação de pavimentação por auditoria de 637 pontos, verificados um a um em campo virtual, classificando a superfície da pista (asfalto e bloquete = pavimentada; saibro e areia = não). A planilha reconciliada de 19/08/2026 lista os 637 pontos individualmente, com coordenada, fonte e data de imagem — 517 no Google Street View e 120 em satélite, onde não há cobertura —, dos quais 496 sustentam individualmente a linha de uma via nomeada e 141 alimentam a taxa agregada do loteamento, por terem caído sobre traçado existente em via sem nome correspondente na planta: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1.216.547 m², área calculada via a via pela CAIXA DE VIA registrada no quadro de cada planta de loteamento — mais 554.203 m² de calçada em vias já abertas. Pela premissa anterior de 8 m de largura única, a pista dava 1.135.968 m²; as duas leituras seguem publicadas, e a de 8 m permanece como piso. Pela banda composicional oficial (DER-ES/SINAPI; 0,661 a 0,861 t/m² na pista e 0,126 a 0,175 t/m² na calçada — memória de cálculo anexa), isso representa 874 a 1.144 mil t de agregados, das quais 751 a 951 mil t são produtos de britagem (704–892 mil t pelo piso de 8 m). A fração de britagem é alta — 83% a 86% do agregado — por razão estrutural do tipo de pavimento: base de brita graduada e colchão de pó de pedra são 100% produto de pedreira e sozinhas valem 58% a 62% do total, e não se compra areia para o subleito, que é a praia (memória de cálculo anexa, Anexo B).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446 a 561 mil t de produtos de britagem DE PISTA DE PISTA. Três leituras: as Bacias 1 e 2 cobrem cerca de 250 mil m², ou 20,5% da pista que falta (14,1% se contada a calçada; 10,3% considerando contrato assinado apenas a Bacia 1), restando 966.547 m² de pista sem contrato (566 a 713 mil t de britagem); ao ritmo contratual do próprio Estado — 125 mil m² em 1.620 dias, ou 28,4 mil m²/ano —, concluir só a pista de Guriri levaria 43 anos com uma bacia por vez e 22 anos com duas simultâneas, contra os 14 anos do financiamento; e o total equivale a 3,2 a 4,0 anos de produção integral da CIPREM no platô. NENHUMA tonelada desse potencial está nas projeções de receita, e o estudo deliberadamente não lhe atribui volume anual nem data: o ritmo depende de decisão orçamentária do Estado e do Município. O que se afirma é a existência e a magnitude do estoque — ambas medidas e auditadas —, equivalentes a 3,2 a 4,0 anos de produção integral da CIPREM no platô.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248–319 mil t/ano. A faixa subiu frente aos 207–245 da versão anterior por uma razão só: a camada de obras foi recomposta pela fração composicional (item 6.3). Note-se que a captura passa a SUPERAR o platô de 237,5 mil t/ano — a restrição do projeto deixa de ser mercado e passa a ser capacidade de produção, posição que preserva poder de preço dada a vantagem de frete. A captura recorrente, sem nenhuma obra, permanece em 165–185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489–701 mil t/ano somadas a praça disputada de Jaguaré, as praças alcançáveis por CIF e as obras — contra o qual o platô de 237,5 mil t/ano representa 34% a 49% na entrada, 26%–36% no ano 14 contra o mercado estrutural, e 42%–56% na leitura que exclui as praças-sede de concorrente (item 8); e, sobretudo, uma participação que NÃO é tomada de incumbente: não há produtor instalado no mercado-base, e os ~296 mil t/ano são hoje supridos por caminhão vindo de 57 a 100 km, de modo que a captura se dá por custo posto, não por disputa de praça; (ii) um ciclo extraordinário de obras públicas (&gt;R$ 1 bilhão) que adiciona 139–223 mil t/ano de produtos de britagem durante a janela de construção, além do potencial medido e auditado de Guriri — 1.216.547 m² de pista e 554.203 m² de calçada por pavimentar, ou 874–1.144 mil t de agregados, dos quais 751–951 mil t de produtos de britagem (704–892 pelo piso de largura declarado) —, estoque do qual NADA está nas projeções de receita, e ao qual o estudo não atribui cronograma, por depender de orçamento de terceiros;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248–319 mil t/ano — acima do platô de 237,5 mil t/ano, de modo que a restrição é de capacidade, não de mercado,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