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2937"/>
          <w:sz w:val="36"/>
          <w:szCs w:val="36"/>
        </w:rPr>
        <w:t xml:space="preserve">Pre-entrega: Capa de visualización final del dashboard</w:t>
      </w:r>
    </w:p>
    <w:p>
      <w:pPr>
        <w:spacing w:after="200"/>
        <w:jc w:val="center"/>
      </w:pPr>
      <w:r>
        <w:rPr>
          <w:rFonts w:ascii="Calibri" w:cs="Calibri" w:eastAsia="Calibri" w:hAnsi="Calibri"/>
          <w:b/>
          <w:bCs/>
          <w:color w:val="0F766E"/>
          <w:sz w:val="28"/>
          <w:szCs w:val="28"/>
        </w:rPr>
        <w:t xml:space="preserve">Registro de uso de IA</w:t>
      </w:r>
    </w:p>
    <w:p>
      <w:pPr>
        <w:spacing w:after="0"/>
        <w:jc w:val="center"/>
      </w:pPr>
      <w:r>
        <w:rPr>
          <w:rFonts w:ascii="Calibri" w:cs="Calibri" w:eastAsia="Calibri" w:hAnsi="Calibri"/>
          <w:color w:val="6B7280"/>
          <w:sz w:val="24"/>
          <w:szCs w:val="24"/>
        </w:rPr>
        <w:t xml:space="preserve">Curso Excel – Coderhouse</w:t>
      </w:r>
    </w:p>
    <w:p>
      <w:r>
        <w:br w:type="page"/>
      </w:r>
    </w:p>
    <w:p>
      <w:pPr>
        <w:pStyle w:val="Heading1"/>
        <w:spacing w:after="140" w:before="280"/>
      </w:pPr>
      <w:r>
        <w:rPr>
          <w:rFonts w:ascii="Calibri" w:cs="Calibri" w:eastAsia="Calibri" w:hAnsi="Calibri"/>
          <w:b/>
          <w:bCs/>
          <w:color w:val="0F766E"/>
          <w:sz w:val="26"/>
          <w:szCs w:val="26"/>
        </w:rPr>
        <w:t xml:space="preserve">1. Objetivo del uso de IA</w:t>
      </w:r>
    </w:p>
    <w:p>
      <w:pPr>
        <w:spacing w:after="160" w:before="0"/>
      </w:pPr>
      <w:r>
        <w:rPr>
          <w:rFonts w:ascii="Calibri" w:cs="Calibri" w:eastAsia="Calibri" w:hAnsi="Calibri"/>
          <w:color w:val="1F2937"/>
          <w:sz w:val="22"/>
          <w:szCs w:val="22"/>
        </w:rPr>
        <w:t xml:space="preserve">Utilicé la IA como auditor cognitivo: primero analicé el dashboard y escribí mis conclusiones, y después le pedí que actuara como abogado del diablo para detectar sesgos de interpretación, variables omitidas y explicaciones alternativas antes de dar las conclusiones por válidas. La IA no generó el análisis inicial: lo cuestionó.</w:t>
      </w:r>
    </w:p>
    <w:p>
      <w:pPr>
        <w:pStyle w:val="Heading1"/>
        <w:spacing w:after="140" w:before="280"/>
      </w:pPr>
      <w:r>
        <w:rPr>
          <w:rFonts w:ascii="Calibri" w:cs="Calibri" w:eastAsia="Calibri" w:hAnsi="Calibri"/>
          <w:b/>
          <w:bCs/>
          <w:color w:val="0F766E"/>
          <w:sz w:val="26"/>
          <w:szCs w:val="26"/>
        </w:rPr>
        <w:t xml:space="preserve">2. Conclusiones iniciales</w:t>
      </w:r>
    </w:p>
    <w:p>
      <w:pPr>
        <w:spacing w:after="160" w:before="0"/>
      </w:pPr>
      <w:r>
        <w:rPr>
          <w:rFonts w:ascii="Calibri" w:cs="Calibri" w:eastAsia="Calibri" w:hAnsi="Calibri"/>
          <w:color w:val="1F2937"/>
          <w:sz w:val="22"/>
          <w:szCs w:val="22"/>
        </w:rPr>
        <w:t xml:space="preserve">Después de armar el Dashboard Final y mirar los KPIs y los gráficos con todos los filtros en "(Todos)", mis tres conclusiones fueron:</w:t>
      </w:r>
    </w:p>
    <w:p>
      <w:pPr>
        <w:pStyle w:val="ListParagraph"/>
        <w:numPr>
          <w:ilvl w:val="0"/>
          <w:numId w:val="2"/>
        </w:numPr>
        <w:spacing w:after="160" w:before="0"/>
      </w:pPr>
      <w:r>
        <w:rPr>
          <w:rFonts w:ascii="Calibri" w:cs="Calibri" w:eastAsia="Calibri" w:hAnsi="Calibri"/>
          <w:color w:val="1F2937"/>
          <w:sz w:val="22"/>
          <w:szCs w:val="22"/>
        </w:rPr>
        <w:t xml:space="preserve">Tecnología concentra el 59% de las ventas netas 2024 ($586,1 M sobre un total de $987,6 M).</w:t>
      </w:r>
    </w:p>
    <w:p>
      <w:pPr>
        <w:pStyle w:val="ListParagraph"/>
        <w:numPr>
          <w:ilvl w:val="0"/>
          <w:numId w:val="2"/>
        </w:numPr>
        <w:spacing w:after="160" w:before="0"/>
      </w:pPr>
      <w:r>
        <w:rPr>
          <w:rFonts w:ascii="Calibri" w:cs="Calibri" w:eastAsia="Calibri" w:hAnsi="Calibri"/>
          <w:color w:val="1F2937"/>
          <w:sz w:val="22"/>
          <w:szCs w:val="22"/>
        </w:rPr>
        <w:t xml:space="preserve">El 2º semestre supera al 1º en un 26%, con picos en julio ($125,0 M) y diciembre ($115,4 M) y un mínimo en abril ($50,2 M).</w:t>
      </w:r>
    </w:p>
    <w:p>
      <w:pPr>
        <w:pStyle w:val="ListParagraph"/>
        <w:numPr>
          <w:ilvl w:val="0"/>
          <w:numId w:val="2"/>
        </w:numPr>
        <w:spacing w:after="160" w:before="0"/>
      </w:pPr>
      <w:r>
        <w:rPr>
          <w:rFonts w:ascii="Calibri" w:cs="Calibri" w:eastAsia="Calibri" w:hAnsi="Calibri"/>
          <w:color w:val="1F2937"/>
          <w:sz w:val="22"/>
          <w:szCs w:val="22"/>
        </w:rPr>
        <w:t xml:space="preserve">Centro lidera las ventas por región (20% del total), mientras que Norte y CABA logran el mejor % de margen (≈39%).</w:t>
      </w:r>
    </w:p>
    <w:p>
      <w:pPr>
        <w:pStyle w:val="Heading1"/>
        <w:spacing w:after="140" w:before="280"/>
      </w:pPr>
      <w:r>
        <w:rPr>
          <w:rFonts w:ascii="Calibri" w:cs="Calibri" w:eastAsia="Calibri" w:hAnsi="Calibri"/>
          <w:b/>
          <w:bCs/>
          <w:color w:val="0F766E"/>
          <w:sz w:val="26"/>
          <w:szCs w:val="26"/>
        </w:rPr>
        <w:t xml:space="preserve">3. Prompt utilizado</w:t>
      </w:r>
    </w:p>
    <w:p>
      <w:pPr>
        <w:spacing w:after="80" w:before="0"/>
      </w:pPr>
      <w:r>
        <w:rPr>
          <w:rFonts w:ascii="Calibri" w:cs="Calibri" w:eastAsia="Calibri" w:hAnsi="Calibri"/>
          <w:i/>
          <w:iCs/>
          <w:color w:val="1F2937"/>
          <w:sz w:val="22"/>
          <w:szCs w:val="22"/>
        </w:rPr>
        <w:t xml:space="preserve">Analicé un dashboard comercial en Excel (ventas retail 2024) y obtuve las siguientes conclusiones:</w:t>
      </w:r>
    </w:p>
    <w:p>
      <w:pPr>
        <w:spacing w:after="80" w:before="0"/>
      </w:pPr>
      <w:r>
        <w:rPr>
          <w:rFonts w:ascii="Calibri" w:cs="Calibri" w:eastAsia="Calibri" w:hAnsi="Calibri"/>
          <w:i/>
          <w:iCs/>
          <w:color w:val="1F2937"/>
          <w:sz w:val="22"/>
          <w:szCs w:val="22"/>
        </w:rPr>
        <w:t xml:space="preserve">1. Tecnología concentra el 59% de las ventas netas del año. 2. El 2º semestre supera al 1º en un 26%, con picos en julio y diciembre. 3. Centro lidera las ventas por región y Norte y CABA tienen el mejor % de margen.</w:t>
      </w:r>
    </w:p>
    <w:p>
      <w:pPr>
        <w:spacing w:after="160" w:before="0"/>
      </w:pPr>
      <w:r>
        <w:rPr>
          <w:rFonts w:ascii="Calibri" w:cs="Calibri" w:eastAsia="Calibri" w:hAnsi="Calibri"/>
          <w:i/>
          <w:iCs/>
          <w:color w:val="1F2937"/>
          <w:sz w:val="22"/>
          <w:szCs w:val="22"/>
        </w:rPr>
        <w:t xml:space="preserve">Actuá como abogado del diablo. Para cada conclusión, indicá posibles sesgos de interpretación, variables omitidas o explicaciones alternativas que debería considerar antes de tomar una decisión. Tené en cuenta que el dataset tiene 360 operaciones, una sola anualidad (2024), una columna de estado del pedido (completado, pendiente, anulado, devuelto) y algunas celdas vacías. No inventes datos ni causas que no puedan demostrarse con la información disponible.</w:t>
      </w:r>
    </w:p>
    <w:p>
      <w:pPr>
        <w:pStyle w:val="Heading1"/>
        <w:spacing w:after="140" w:before="280"/>
      </w:pPr>
      <w:r>
        <w:rPr>
          <w:rFonts w:ascii="Calibri" w:cs="Calibri" w:eastAsia="Calibri" w:hAnsi="Calibri"/>
          <w:b/>
          <w:bCs/>
          <w:color w:val="0F766E"/>
          <w:sz w:val="26"/>
          <w:szCs w:val="26"/>
        </w:rPr>
        <w:t xml:space="preserve">4. Respuesta / validación de la IA</w:t>
      </w:r>
    </w:p>
    <w:p>
      <w:pPr>
        <w:spacing w:after="160" w:before="0"/>
      </w:pPr>
      <w:r>
        <w:rPr>
          <w:rFonts w:ascii="Calibri" w:cs="Calibri" w:eastAsia="Calibri" w:hAnsi="Calibri"/>
          <w:color w:val="1F2937"/>
          <w:sz w:val="22"/>
          <w:szCs w:val="22"/>
        </w:rPr>
        <w:t xml:space="preserve">Los principales cuestionamientos fueron:</w:t>
      </w:r>
    </w:p>
    <w:p>
      <w:pPr>
        <w:pStyle w:val="ListParagraph"/>
        <w:numPr>
          <w:ilvl w:val="0"/>
          <w:numId w:val="2"/>
        </w:numPr>
        <w:spacing w:after="160" w:before="0"/>
      </w:pPr>
      <w:r>
        <w:rPr>
          <w:rFonts w:ascii="Calibri" w:cs="Calibri" w:eastAsia="Calibri" w:hAnsi="Calibri"/>
          <w:b/>
          <w:bCs/>
          <w:color w:val="1F2937"/>
          <w:sz w:val="22"/>
          <w:szCs w:val="22"/>
        </w:rPr>
        <w:t xml:space="preserve">Sobre Tecnología (conclusión 1): </w:t>
      </w:r>
      <w:r>
        <w:rPr>
          <w:rFonts w:ascii="Calibri" w:cs="Calibri" w:eastAsia="Calibri" w:hAnsi="Calibri"/>
          <w:color w:val="1F2937"/>
          <w:sz w:val="22"/>
          <w:szCs w:val="22"/>
        </w:rPr>
        <w:t xml:space="preserve">la participación puede reflejar la amplitud del catálogo (6 de los 12 productos son de esa categoría) y sus precios unitarios, no un mejor desempeño comercial. Además, su % de margen (35,3%) es similar al de Hogar (36,3%), así que liderar en ventas no implica liderar en rentabilidad.</w:t>
      </w:r>
    </w:p>
    <w:p>
      <w:pPr>
        <w:pStyle w:val="ListParagraph"/>
        <w:numPr>
          <w:ilvl w:val="0"/>
          <w:numId w:val="2"/>
        </w:numPr>
        <w:spacing w:after="160" w:before="0"/>
      </w:pPr>
      <w:r>
        <w:rPr>
          <w:rFonts w:ascii="Calibri" w:cs="Calibri" w:eastAsia="Calibri" w:hAnsi="Calibri"/>
          <w:b/>
          <w:bCs/>
          <w:color w:val="1F2937"/>
          <w:sz w:val="22"/>
          <w:szCs w:val="22"/>
        </w:rPr>
        <w:t xml:space="preserve">Sobre el crecimiento del 2º semestre (conclusión 2): </w:t>
      </w:r>
      <w:r>
        <w:rPr>
          <w:rFonts w:ascii="Calibri" w:cs="Calibri" w:eastAsia="Calibri" w:hAnsi="Calibri"/>
          <w:color w:val="1F2937"/>
          <w:sz w:val="22"/>
          <w:szCs w:val="22"/>
        </w:rPr>
        <w:t xml:space="preserve">con un solo año de datos no se puede separar tendencia de estacionalidad, y las cifras incluyen pedidos en todos los estados: los anulados y devueltos suman cerca del 26% del monto, por lo que la venta efectiva es menor a la mostrada. Extrapolar ese 26% a 2025 sería un error.</w:t>
      </w:r>
    </w:p>
    <w:p>
      <w:pPr>
        <w:pStyle w:val="ListParagraph"/>
        <w:numPr>
          <w:ilvl w:val="0"/>
          <w:numId w:val="2"/>
        </w:numPr>
        <w:spacing w:after="160" w:before="0"/>
      </w:pPr>
      <w:r>
        <w:rPr>
          <w:rFonts w:ascii="Calibri" w:cs="Calibri" w:eastAsia="Calibri" w:hAnsi="Calibri"/>
          <w:b/>
          <w:bCs/>
          <w:color w:val="1F2937"/>
          <w:sz w:val="22"/>
          <w:szCs w:val="22"/>
        </w:rPr>
        <w:t xml:space="preserve">Sobre las regiones (conclusión 3): </w:t>
      </w:r>
      <w:r>
        <w:rPr>
          <w:rFonts w:ascii="Calibri" w:cs="Calibri" w:eastAsia="Calibri" w:hAnsi="Calibri"/>
          <w:color w:val="1F2937"/>
          <w:sz w:val="22"/>
          <w:szCs w:val="22"/>
        </w:rPr>
        <w:t xml:space="preserve">la comparación no ajusta por cantidad de operaciones (Centro tiene 57 e Interior 46), así que parte de la diferencia es tamaño de ticket y no solo volumen de actividad. Que Norte y CABA tengan mejor % de margen es una correlación: el dataset no permite atribuirlo a una causa (mix de productos, descuentos, etc.).</w:t>
      </w:r>
    </w:p>
    <w:p>
      <w:pPr>
        <w:pStyle w:val="Heading1"/>
        <w:spacing w:after="140" w:before="280"/>
      </w:pPr>
      <w:r>
        <w:rPr>
          <w:rFonts w:ascii="Calibri" w:cs="Calibri" w:eastAsia="Calibri" w:hAnsi="Calibri"/>
          <w:b/>
          <w:bCs/>
          <w:color w:val="0F766E"/>
          <w:sz w:val="26"/>
          <w:szCs w:val="26"/>
        </w:rPr>
        <w:t xml:space="preserve">5. Refinamiento realizado</w:t>
      </w:r>
    </w:p>
    <w:p>
      <w:pPr>
        <w:spacing w:after="160" w:before="0"/>
      </w:pPr>
      <w:r>
        <w:rPr>
          <w:rFonts w:ascii="Calibri" w:cs="Calibri" w:eastAsia="Calibri" w:hAnsi="Calibri"/>
          <w:color w:val="1F2937"/>
          <w:sz w:val="22"/>
          <w:szCs w:val="22"/>
        </w:rPr>
        <w:t xml:space="preserve">A partir de esa validación hice dos cambios visibles en el Dashboard Final:</w:t>
      </w:r>
    </w:p>
    <w:p>
      <w:pPr>
        <w:pStyle w:val="ListParagraph"/>
        <w:numPr>
          <w:ilvl w:val="0"/>
          <w:numId w:val="2"/>
        </w:numPr>
        <w:spacing w:after="160" w:before="0"/>
      </w:pPr>
      <w:r>
        <w:rPr>
          <w:rFonts w:ascii="Calibri" w:cs="Calibri" w:eastAsia="Calibri" w:hAnsi="Calibri"/>
          <w:color w:val="1F2937"/>
          <w:sz w:val="22"/>
          <w:szCs w:val="22"/>
        </w:rPr>
        <w:t xml:space="preserve">Agregué un cuarto segmentador, "Estado del pedido", para poder ver los KPIs y gráficos solo con operaciones completadas y no sobreestimar la venta efectiva.</w:t>
      </w:r>
    </w:p>
    <w:p>
      <w:pPr>
        <w:pStyle w:val="ListParagraph"/>
        <w:numPr>
          <w:ilvl w:val="0"/>
          <w:numId w:val="2"/>
        </w:numPr>
        <w:spacing w:after="160" w:before="0"/>
      </w:pPr>
      <w:r>
        <w:rPr>
          <w:rFonts w:ascii="Calibri" w:cs="Calibri" w:eastAsia="Calibri" w:hAnsi="Calibri"/>
          <w:color w:val="1F2937"/>
          <w:sz w:val="22"/>
          <w:szCs w:val="22"/>
        </w:rPr>
        <w:t xml:space="preserve">Incorporé la sección "Limitaciones y lectura sugerida" dentro de las Notas de análisis, aclarando que las cifras incluyen todos los estados de pedido, que hay una sola anualidad (por lo que la mejora del 2º semestre no debe extrapolarse) y que la participación por categoría y región no ajusta por cantidad de productos ni de operaciones. Los títulos de los gráficos quedaron redactados como hallazgos descriptivos, sin afirmar causas.</w:t>
      </w:r>
    </w:p>
    <w:p>
      <w:pPr>
        <w:pStyle w:val="Heading1"/>
        <w:spacing w:after="140" w:before="280"/>
      </w:pPr>
      <w:r>
        <w:rPr>
          <w:rFonts w:ascii="Calibri" w:cs="Calibri" w:eastAsia="Calibri" w:hAnsi="Calibri"/>
          <w:b/>
          <w:bCs/>
          <w:color w:val="0F766E"/>
          <w:sz w:val="26"/>
          <w:szCs w:val="26"/>
        </w:rPr>
        <w:t xml:space="preserve">6. Conclusión</w:t>
      </w:r>
    </w:p>
    <w:p>
      <w:pPr>
        <w:spacing w:after="160" w:before="0"/>
      </w:pPr>
      <w:r>
        <w:rPr>
          <w:rFonts w:ascii="Calibri" w:cs="Calibri" w:eastAsia="Calibri" w:hAnsi="Calibri"/>
          <w:color w:val="1F2937"/>
          <w:sz w:val="22"/>
          <w:szCs w:val="22"/>
        </w:rPr>
        <w:t xml:space="preserve">La IA se usó para ampliar y validar el análisis, no para reemplazar la interpretación humana: las conclusiones salieron de observar el dashboard, y el rol de la IA fue cuestionarlas y señalar sus límites. Ese feedback quedó incorporado en la versión final del Excel.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2026-09-15T15:19:19.644Z</dcterms:created>
  <dcterms:modified xsi:type="dcterms:W3CDTF">2026-09-15T15:19:19.652Z</dcterms:modified>
</cp:coreProperties>
</file>

<file path=docProps/custom.xml><?xml version="1.0" encoding="utf-8"?>
<Properties xmlns="http://schemas.openxmlformats.org/officeDocument/2006/custom-properties" xmlns:vt="http://schemas.openxmlformats.org/officeDocument/2006/docPropsVTypes"/>
</file>