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E2023"/>
          <w:sz w:val="32"/>
          <w:szCs w:val="32"/>
        </w:rPr>
        <w:t xml:space="preserve">CONSULTAS PARA VALIDACIÓN DE INFORMACIÓN</w:t>
      </w:r>
    </w:p>
    <w:p>
      <w:pPr>
        <w:spacing w:after="40"/>
      </w:pPr>
      <w:r>
        <w:rPr>
          <w:rFonts w:ascii="Calibri" w:cs="Calibri" w:eastAsia="Calibri" w:hAnsi="Calibri"/>
          <w:color w:val="5B6675"/>
          <w:sz w:val="21"/>
          <w:szCs w:val="21"/>
        </w:rPr>
        <w:t xml:space="preserve">Repuestos Tavares Sociedad Anónima Emisora · Programa de Bonos G1</w:t>
      </w:r>
    </w:p>
    <w:p>
      <w:pPr>
        <w:spacing w:after="160"/>
      </w:pPr>
      <w:r>
        <w:rPr>
          <w:rFonts w:ascii="Calibri" w:cs="Calibri" w:eastAsia="Calibri" w:hAnsi="Calibri"/>
          <w:color w:val="5B6675"/>
          <w:sz w:val="19"/>
          <w:szCs w:val="19"/>
        </w:rPr>
        <w:t xml:space="preserve">Asunción, 29 de septiembre de 2026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Al revisar los documentos recibidos (prospecto, reseña histórica, datos de la sociedad e informe de calificación de Feller Rate) para la elaboración del material institucional, encontramos algunos puntos que no coinciden entre documentos o que están incompletos. Solicitamos su confirmación para asegurar la coherencia de la información que se comunique a los inversionistas.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300"/>
        <w:gridCol w:w="4818"/>
      </w:tblGrid>
      <w:tr>
        <w:trPr>
          <w:tblHeader/>
        </w:trPr>
        <w:tc>
          <w:tcPr>
            <w:tcW w:type="dxa" w:w="520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shd w:fill="1E202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4300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shd w:fill="1E202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 que observamos en los documentos</w:t>
            </w:r>
          </w:p>
        </w:tc>
        <w:tc>
          <w:tcPr>
            <w:tcW w:type="dxa" w:w="4818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shd w:fill="1E202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Consulta</w:t>
            </w:r>
          </w:p>
        </w:tc>
      </w:tr>
      <w:tr>
        <w:tc>
          <w:tcPr>
            <w:tcW w:type="dxa" w:w="9638"/>
            <w:gridSpan w:val="3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shd w:fill="F3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19"/>
                <w:szCs w:val="19"/>
              </w:rPr>
              <w:t xml:space="preserve">A. Información financiera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prospecto (agosto de 2026) anuncia “la última información trimestral cerrada”, pero el balance, el estado de resultados y los ratios llegan al 31/12/2025. El informe de Feller Rate sí presenta cifras al 30/06/2026 (activos Gs. 33.470 M; patrimonio Gs. 17.963 M).</w:t>
            </w:r>
          </w:p>
        </w:tc>
        <w:tc>
          <w:tcPr>
            <w:tcW w:type="dxa" w:w="4818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¿Se actualizará el prospecto con los estados financieros al 30/06/2026? ¿Qué cifras debemos tomar como referencia oficial en el material institucional?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prospecto presenta resultado operativo (2025: Gs. 4.725 M) y el informe de Feller presenta Ebitda ajustado (2025: Gs. 4.970 M; margen 25,1%). Las cifras de ambos documentos no son directamente comparables.</w:t>
            </w:r>
          </w:p>
        </w:tc>
        <w:tc>
          <w:tcPr>
            <w:tcW w:type="dxa" w:w="4818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¿Prefieren que usemos solo las cifras del prospecto o también las de Feller Rate? ¿Podemos citar a Feller Rate como fuente?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2024 el prospecto muestra utilidad bruta negativa (Gs. -1.069 M; costo de ventas Gs. 21.701 M frente a ventas de Gs. 20.632 M), compensada por otros ingresos operativos de Gs. 6.320 M.</w:t>
            </w:r>
          </w:p>
        </w:tc>
        <w:tc>
          <w:tcPr>
            <w:tcW w:type="dxa" w:w="4818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¿Cuál es la explicación de este comportamiento (reclasificaciones, ajustes de inventario u otros)? ¿Conviene aclararlo en el prospecto?</w:t>
            </w:r>
          </w:p>
        </w:tc>
      </w:tr>
      <w:tr>
        <w:tc>
          <w:tcPr>
            <w:tcW w:type="dxa" w:w="9638"/>
            <w:gridSpan w:val="3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shd w:fill="F3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19"/>
                <w:szCs w:val="19"/>
              </w:rPr>
              <w:t xml:space="preserve">B. Destino de los fondos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prospecto destina hasta Gs. 13.200 M a reestructurar pasivos de corto plazo. Al 31/12/2025 los préstamos de corto plazo eran de Gs. 9.276 M y la deuda financiera total, de Gs. 13.254 M (Gs. 12.291 M al 30/06/2026 según Feller).</w:t>
            </w:r>
          </w:p>
        </w:tc>
        <w:tc>
          <w:tcPr>
            <w:tcW w:type="dxa" w:w="4818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¿Qué pasivos se reestructurarán exactamente? ¿El monto de Gs. 13.200 M se refiere solo a deuda de corto plazo o incluye deuda de largo plazo?</w:t>
            </w:r>
          </w:p>
        </w:tc>
      </w:tr>
      <w:tr>
        <w:tc>
          <w:tcPr>
            <w:tcW w:type="dxa" w:w="9638"/>
            <w:gridSpan w:val="3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shd w:fill="F3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19"/>
                <w:szCs w:val="19"/>
              </w:rPr>
              <w:t xml:space="preserve">C. Vinculación con el grupo y la marca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4300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prospecto indica vinculación por deudas y por contratos “No posee” y que los otros establecimientos con la marca no aportan flujos. Feller informa que las operaciones con empresas relacionadas representaron cerca del 31% de las ventas y de las compras en 2025, una participación de 12,5% en Tavares Credi-Group S.A. y un acuerdo de no competencia entre empresas del Grupo Tavares.</w:t>
            </w:r>
          </w:p>
        </w:tc>
        <w:tc>
          <w:tcPr>
            <w:tcW w:type="dxa" w:w="4818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¿Cómo se concilian ambas informaciones? ¿Se ajustará la sección de vinculaciones del prospecto? ¿Cuál es exactamente la relación comercial con los demás establecimientos (compras, ventas, abastecimiento de componentes)?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4300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desea reflejar que la marca tiene presencia a nivel país, dejando claro que las otras sucursales pertenecen a sociedades independientes y no forman parte de la emisora.</w:t>
            </w:r>
          </w:p>
        </w:tc>
        <w:tc>
          <w:tcPr>
            <w:tcW w:type="dxa" w:w="4818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¿Qué redacción autorizan para mencionar esa presencia y qué establecimientos pueden nombrarse? ¿El acuerdo de no competencia impone alguna restricción?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4300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reseña y el prospecto sitúan el inicio de la actividad en 1996. El sitio web tavaresgroup.com.py indica “Desde 1992” y “7 sucursales”.</w:t>
            </w:r>
          </w:p>
        </w:tc>
        <w:tc>
          <w:tcPr>
            <w:tcW w:type="dxa" w:w="4818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¿Cuál es el dato correcto para material dirigido a inversionistas? ¿Se actualizará el sitio web?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4300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prospecto indica que la inscripción de la cesión de la marca “Tavares Group” está en trámite (Feller informa que el contrato se suscribió en 2026).</w:t>
            </w:r>
          </w:p>
        </w:tc>
        <w:tc>
          <w:tcPr>
            <w:tcW w:type="dxa" w:w="4818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¿Está confirmada la titularidad para usar la marca y el logo en material dirigido a inversionistas? ¿Podemos usar las fotografías del sitio web?</w:t>
            </w:r>
          </w:p>
        </w:tc>
      </w:tr>
      <w:tr>
        <w:tc>
          <w:tcPr>
            <w:tcW w:type="dxa" w:w="9638"/>
            <w:gridSpan w:val="3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shd w:fill="F3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19"/>
                <w:szCs w:val="19"/>
              </w:rPr>
              <w:t xml:space="preserve">D. Datos por completar o corregir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4300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prospecto tiene campos en blanco: número y fecha de los certificados de registro (SIV y CAVAPY), actas de directorio, cantidad de empleados y trayectoria bursátil “en proceso”.</w:t>
            </w:r>
          </w:p>
        </w:tc>
        <w:tc>
          <w:tcPr>
            <w:tcW w:type="dxa" w:w="4818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¿Cuándo estarán disponibles estos datos? ¿Podemos incluirlos en el material una vez definidos?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4300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la reseña histórica, la visión dice “referente en Paraguayolerai” y la misión termina en “de anv ongoing largo plazo”, expresiones que parecen errores de redacción.</w:t>
            </w:r>
          </w:p>
        </w:tc>
        <w:tc>
          <w:tcPr>
            <w:tcW w:type="dxa" w:w="4818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¿Cuál es la redacción correcta de la visión y la misión?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4300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informe de Feller Rate está emitido a nombre de “Repuestos Tavares S.A.”, mientras que la denominación vigente es “Repuestos Tavares Sociedad Anónima Emisora”.</w:t>
            </w:r>
          </w:p>
        </w:tc>
        <w:tc>
          <w:tcPr>
            <w:tcW w:type="dxa" w:w="4818"/>
            <w:tcBorders>
              <w:top w:val="single" w:color="BFC3C8" w:sz="4"/>
              <w:left w:val="single" w:color="BFC3C8" w:sz="4"/>
              <w:bottom w:val="single" w:color="BFC3C8" w:sz="4"/>
              <w:right w:val="single" w:color="BFC3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¿Se emitirá una actualización del informe con la nueva denominación?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B6675"/>
          <w:sz w:val="19"/>
          <w:szCs w:val="19"/>
        </w:rPr>
        <w:t xml:space="preserve">Quedamos atentos a sus respuestas.</w:t>
      </w:r>
    </w:p>
    <w:sectPr>
      <w:pgSz w:w="11906" w:h="16838" w:orient="portrait"/>
      <w:pgMar w:top="900" w:right="1134" w:bottom="8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2026-09-29T13:57:34.962Z</dcterms:created>
  <dcterms:modified xsi:type="dcterms:W3CDTF">2026-09-29T13:57:34.967Z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