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E2023"/>
          <w:sz w:val="34"/>
          <w:szCs w:val="34"/>
        </w:rPr>
        <w:t xml:space="preserve">CONSULTA SOBRE ALCANCE DE LA EMISIÓN</w:t>
      </w:r>
    </w:p>
    <w:p>
      <w:pPr>
        <w:spacing w:after="60"/>
      </w:pPr>
      <w:r>
        <w:rPr>
          <w:rFonts w:ascii="Calibri" w:cs="Calibri" w:eastAsia="Calibri" w:hAnsi="Calibri"/>
          <w:color w:val="5B6675"/>
          <w:sz w:val="21"/>
          <w:szCs w:val="21"/>
        </w:rPr>
        <w:t xml:space="preserve">Presentación institucional · Repuestos Tavares Sociedad Anónima Emisora (Programa de Bonos G1)</w:t>
      </w:r>
    </w:p>
    <w:p>
      <w:pPr>
        <w:spacing w:after="200"/>
      </w:pPr>
      <w:r>
        <w:rPr>
          <w:rFonts w:ascii="Calibri" w:cs="Calibri" w:eastAsia="Calibri" w:hAnsi="Calibri"/>
          <w:color w:val="5B6675"/>
          <w:sz w:val="19"/>
          <w:szCs w:val="19"/>
        </w:rPr>
        <w:t xml:space="preserve">Asunción, 29 de septiembre de 2026</w:t>
      </w:r>
    </w:p>
    <w:p>
      <w:pPr>
        <w:spacing w:after="100" w:before="220"/>
      </w:pPr>
      <w:r>
        <w:rPr>
          <w:rFonts w:ascii="Calibri" w:cs="Calibri" w:eastAsia="Calibri" w:hAnsi="Calibri"/>
          <w:b/>
          <w:bCs/>
          <w:color w:val="C8102E"/>
          <w:sz w:val="24"/>
          <w:szCs w:val="24"/>
        </w:rPr>
        <w:t xml:space="preserve">Motivo de la consulta</w:t>
      </w:r>
    </w:p>
    <w:p>
      <w:pPr>
        <w:spacing w:after="100"/>
      </w:pPr>
      <w:r>
        <w:rPr>
          <w:rFonts w:ascii="Calibri" w:cs="Calibri" w:eastAsia="Calibri" w:hAnsi="Calibri"/>
          <w:sz w:val="20"/>
          <w:szCs w:val="20"/>
        </w:rPr>
        <w:t xml:space="preserve">Estamos preparando la presentación institucional de Repuestos Tavares S.A.E. Se nos indicó que la emisión cotizará exclusivamente por la unidad de Katueté y que no deben incluirse datos ni imágenes de otras sucursales. Al revisar los documentos recibidos, encontramos que los datos de la emisora incluyen también la unidad de Campo 9, por lo que necesitamos confirmar el alcance antes de continuar.</w:t>
      </w:r>
    </w:p>
    <w:p>
      <w:pPr>
        <w:spacing w:after="100" w:before="220"/>
      </w:pPr>
      <w:r>
        <w:rPr>
          <w:rFonts w:ascii="Calibri" w:cs="Calibri" w:eastAsia="Calibri" w:hAnsi="Calibri"/>
          <w:b/>
          <w:bCs/>
          <w:color w:val="C8102E"/>
          <w:sz w:val="24"/>
          <w:szCs w:val="24"/>
        </w:rPr>
        <w:t xml:space="preserve">Dónde aparece Campo 9 en los documentos recibidos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6200"/>
      </w:tblGrid>
      <w:tr>
        <w:trPr>
          <w:tblHeader/>
        </w:trPr>
        <w:tc>
          <w:tcPr>
            <w:tcW w:type="dxa" w:w="2000"/>
            <w:tcBorders>
              <w:top w:val="single" w:color="BFC3C8" w:sz="4"/>
              <w:left w:val="single" w:color="BFC3C8" w:sz="4"/>
              <w:bottom w:val="single" w:color="BFC3C8" w:sz="4"/>
              <w:right w:val="single" w:color="BFC3C8" w:sz="4"/>
            </w:tcBorders>
            <w:shd w:fill="1E2023"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Documento</w:t>
            </w:r>
          </w:p>
        </w:tc>
        <w:tc>
          <w:tcPr>
            <w:tcW w:type="dxa" w:w="1500"/>
            <w:tcBorders>
              <w:top w:val="single" w:color="BFC3C8" w:sz="4"/>
              <w:left w:val="single" w:color="BFC3C8" w:sz="4"/>
              <w:bottom w:val="single" w:color="BFC3C8" w:sz="4"/>
              <w:right w:val="single" w:color="BFC3C8" w:sz="4"/>
            </w:tcBorders>
            <w:shd w:fill="1E2023"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¿Incluye Campo 9?</w:t>
            </w:r>
          </w:p>
        </w:tc>
        <w:tc>
          <w:tcPr>
            <w:tcW w:type="dxa" w:w="6200"/>
            <w:tcBorders>
              <w:top w:val="single" w:color="BFC3C8" w:sz="4"/>
              <w:left w:val="single" w:color="BFC3C8" w:sz="4"/>
              <w:bottom w:val="single" w:color="BFC3C8" w:sz="4"/>
              <w:right w:val="single" w:color="BFC3C8" w:sz="4"/>
            </w:tcBorders>
            <w:shd w:fill="1E2023"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Qué dice</w:t>
            </w:r>
          </w:p>
        </w:tc>
      </w:tr>
      <w:tr>
        <w:tc>
          <w:tcPr>
            <w:tcW w:type="dxa" w:w="2000"/>
            <w:tcBorders>
              <w:top w:val="single" w:color="BFC3C8" w:sz="4"/>
              <w:left w:val="single" w:color="BFC3C8" w:sz="4"/>
              <w:bottom w:val="single" w:color="BFC3C8" w:sz="4"/>
              <w:right w:val="single" w:color="BFC3C8" w:sz="4"/>
            </w:tcBorders>
            <w:shd w:fill="F3F4F5" w:color="auto" w:val="clear"/>
            <w:tcMar>
              <w:top w:type="dxa" w:w="70"/>
              <w:left w:type="dxa" w:w="100"/>
              <w:bottom w:type="dxa" w:w="70"/>
              <w:right w:type="dxa" w:w="100"/>
            </w:tcMar>
          </w:tcPr>
          <w:p>
            <w:pPr>
              <w:spacing w:after="40"/>
            </w:pPr>
            <w:r>
              <w:rPr>
                <w:rFonts w:ascii="Calibri" w:cs="Calibri" w:eastAsia="Calibri" w:hAnsi="Calibri"/>
                <w:b/>
                <w:bCs/>
                <w:sz w:val="19"/>
                <w:szCs w:val="19"/>
              </w:rPr>
              <w:t xml:space="preserve">Informe de calificación Feller Rate (sept. 2026)</w:t>
            </w:r>
          </w:p>
        </w:tc>
        <w:tc>
          <w:tcPr>
            <w:tcW w:type="dxa" w:w="1500"/>
            <w:tcBorders>
              <w:top w:val="single" w:color="BFC3C8" w:sz="4"/>
              <w:left w:val="single" w:color="BFC3C8" w:sz="4"/>
              <w:bottom w:val="single" w:color="BFC3C8" w:sz="4"/>
              <w:right w:val="single" w:color="BFC3C8" w:sz="4"/>
            </w:tcBorders>
            <w:tcMar>
              <w:top w:type="dxa" w:w="70"/>
              <w:left w:type="dxa" w:w="100"/>
              <w:bottom w:type="dxa" w:w="70"/>
              <w:right w:type="dxa" w:w="100"/>
            </w:tcMar>
          </w:tcPr>
          <w:p>
            <w:pPr>
              <w:spacing w:after="40"/>
            </w:pPr>
            <w:r>
              <w:rPr>
                <w:rFonts w:ascii="Calibri" w:cs="Calibri" w:eastAsia="Calibri" w:hAnsi="Calibri"/>
                <w:b/>
                <w:bCs/>
                <w:sz w:val="19"/>
                <w:szCs w:val="19"/>
              </w:rPr>
              <w:t xml:space="preserve">Sí, en las cifras</w:t>
            </w:r>
          </w:p>
        </w:tc>
        <w:tc>
          <w:tcPr>
            <w:tcW w:type="dxa" w:w="6200"/>
            <w:tcBorders>
              <w:top w:val="single" w:color="BFC3C8" w:sz="4"/>
              <w:left w:val="single" w:color="BFC3C8" w:sz="4"/>
              <w:bottom w:val="single" w:color="BFC3C8" w:sz="4"/>
              <w:right w:val="single" w:color="BFC3C8" w:sz="4"/>
            </w:tcBorders>
            <w:tcMar>
              <w:top w:type="dxa" w:w="70"/>
              <w:left w:type="dxa" w:w="100"/>
              <w:bottom w:type="dxa" w:w="70"/>
              <w:right w:type="dxa" w:w="100"/>
            </w:tcMar>
          </w:tcPr>
          <w:p>
            <w:pPr>
              <w:spacing w:after="40"/>
            </w:pPr>
            <w:r>
              <w:rPr>
                <w:rFonts w:ascii="Calibri" w:cs="Calibri" w:eastAsia="Calibri" w:hAnsi="Calibri"/>
                <w:sz w:val="19"/>
                <w:szCs w:val="19"/>
              </w:rPr>
              <w:t xml:space="preserve">Los ingresos y el Ebitda corresponden a la sociedad completa: </w:t>
            </w:r>
            <w:r>
              <w:rPr>
                <w:rFonts w:ascii="Calibri" w:cs="Calibri" w:eastAsia="Calibri" w:hAnsi="Calibri"/>
                <w:i/>
                <w:iCs/>
                <w:sz w:val="19"/>
                <w:szCs w:val="19"/>
              </w:rPr>
              <w:t xml:space="preserve">“mayores niveles de actividad en ambas ubicaciones”</w:t>
            </w:r>
            <w:r>
              <w:rPr>
                <w:rFonts w:ascii="Calibri" w:cs="Calibri" w:eastAsia="Calibri" w:hAnsi="Calibri"/>
                <w:sz w:val="19"/>
                <w:szCs w:val="19"/>
              </w:rPr>
              <w:t xml:space="preserve">. Incluye un gráfico que reparte los ingresos entre Katueté y Campo 9. La participación de Campo 9 en los ingresos fue de 4,3% (2024), 8,8% (2025) y 15,0% (junio 2026).</w:t>
            </w:r>
          </w:p>
        </w:tc>
      </w:tr>
      <w:tr>
        <w:tc>
          <w:tcPr>
            <w:tcW w:type="dxa" w:w="2000"/>
            <w:tcBorders>
              <w:top w:val="single" w:color="BFC3C8" w:sz="4"/>
              <w:left w:val="single" w:color="BFC3C8" w:sz="4"/>
              <w:bottom w:val="single" w:color="BFC3C8" w:sz="4"/>
              <w:right w:val="single" w:color="BFC3C8" w:sz="4"/>
            </w:tcBorders>
            <w:shd w:fill="F3F4F5" w:color="auto" w:val="clear"/>
            <w:tcMar>
              <w:top w:type="dxa" w:w="70"/>
              <w:left w:type="dxa" w:w="100"/>
              <w:bottom w:type="dxa" w:w="70"/>
              <w:right w:type="dxa" w:w="100"/>
            </w:tcMar>
          </w:tcPr>
          <w:p>
            <w:pPr>
              <w:spacing w:after="40"/>
            </w:pPr>
            <w:r>
              <w:rPr>
                <w:rFonts w:ascii="Calibri" w:cs="Calibri" w:eastAsia="Calibri" w:hAnsi="Calibri"/>
                <w:b/>
                <w:bCs/>
                <w:sz w:val="19"/>
                <w:szCs w:val="19"/>
              </w:rPr>
              <w:t xml:space="preserve">Prospecto del Programa G1</w:t>
            </w:r>
          </w:p>
        </w:tc>
        <w:tc>
          <w:tcPr>
            <w:tcW w:type="dxa" w:w="1500"/>
            <w:tcBorders>
              <w:top w:val="single" w:color="BFC3C8" w:sz="4"/>
              <w:left w:val="single" w:color="BFC3C8" w:sz="4"/>
              <w:bottom w:val="single" w:color="BFC3C8" w:sz="4"/>
              <w:right w:val="single" w:color="BFC3C8" w:sz="4"/>
            </w:tcBorders>
            <w:tcMar>
              <w:top w:type="dxa" w:w="70"/>
              <w:left w:type="dxa" w:w="100"/>
              <w:bottom w:type="dxa" w:w="70"/>
              <w:right w:type="dxa" w:w="100"/>
            </w:tcMar>
          </w:tcPr>
          <w:p>
            <w:pPr>
              <w:spacing w:after="40"/>
            </w:pPr>
            <w:r>
              <w:rPr>
                <w:rFonts w:ascii="Calibri" w:cs="Calibri" w:eastAsia="Calibri" w:hAnsi="Calibri"/>
                <w:b/>
                <w:bCs/>
                <w:sz w:val="19"/>
                <w:szCs w:val="19"/>
              </w:rPr>
              <w:t xml:space="preserve">Sí</w:t>
            </w:r>
          </w:p>
        </w:tc>
        <w:tc>
          <w:tcPr>
            <w:tcW w:type="dxa" w:w="6200"/>
            <w:tcBorders>
              <w:top w:val="single" w:color="BFC3C8" w:sz="4"/>
              <w:left w:val="single" w:color="BFC3C8" w:sz="4"/>
              <w:bottom w:val="single" w:color="BFC3C8" w:sz="4"/>
              <w:right w:val="single" w:color="BFC3C8" w:sz="4"/>
            </w:tcBorders>
            <w:tcMar>
              <w:top w:type="dxa" w:w="70"/>
              <w:left w:type="dxa" w:w="100"/>
              <w:bottom w:type="dxa" w:w="70"/>
              <w:right w:type="dxa" w:w="100"/>
            </w:tcMar>
          </w:tcPr>
          <w:p>
            <w:pPr>
              <w:spacing w:after="40"/>
            </w:pPr>
            <w:r>
              <w:rPr>
                <w:rFonts w:ascii="Calibri" w:cs="Calibri" w:eastAsia="Calibri" w:hAnsi="Calibri"/>
                <w:sz w:val="19"/>
                <w:szCs w:val="19"/>
              </w:rPr>
              <w:t xml:space="preserve">Indica que la sociedad “opera dos unidades de negocio propias”: la casa matriz de Katueté y la sucursal de Campo 9. Los estados financieros son de toda la sociedad. Aclara que otros establecimientos con la marca Tavares Group pertenecen a terceros, no consolidan con la emisora ni aportan flujos.</w:t>
            </w:r>
          </w:p>
        </w:tc>
      </w:tr>
      <w:tr>
        <w:tc>
          <w:tcPr>
            <w:tcW w:type="dxa" w:w="2000"/>
            <w:tcBorders>
              <w:top w:val="single" w:color="BFC3C8" w:sz="4"/>
              <w:left w:val="single" w:color="BFC3C8" w:sz="4"/>
              <w:bottom w:val="single" w:color="BFC3C8" w:sz="4"/>
              <w:right w:val="single" w:color="BFC3C8" w:sz="4"/>
            </w:tcBorders>
            <w:shd w:fill="F3F4F5" w:color="auto" w:val="clear"/>
            <w:tcMar>
              <w:top w:type="dxa" w:w="70"/>
              <w:left w:type="dxa" w:w="100"/>
              <w:bottom w:type="dxa" w:w="70"/>
              <w:right w:type="dxa" w:w="100"/>
            </w:tcMar>
          </w:tcPr>
          <w:p>
            <w:pPr>
              <w:spacing w:after="40"/>
            </w:pPr>
            <w:r>
              <w:rPr>
                <w:rFonts w:ascii="Calibri" w:cs="Calibri" w:eastAsia="Calibri" w:hAnsi="Calibri"/>
                <w:b/>
                <w:bCs/>
                <w:sz w:val="19"/>
                <w:szCs w:val="19"/>
              </w:rPr>
              <w:t xml:space="preserve">Reseña histórica del emisor</w:t>
            </w:r>
          </w:p>
        </w:tc>
        <w:tc>
          <w:tcPr>
            <w:tcW w:type="dxa" w:w="1500"/>
            <w:tcBorders>
              <w:top w:val="single" w:color="BFC3C8" w:sz="4"/>
              <w:left w:val="single" w:color="BFC3C8" w:sz="4"/>
              <w:bottom w:val="single" w:color="BFC3C8" w:sz="4"/>
              <w:right w:val="single" w:color="BFC3C8" w:sz="4"/>
            </w:tcBorders>
            <w:tcMar>
              <w:top w:type="dxa" w:w="70"/>
              <w:left w:type="dxa" w:w="100"/>
              <w:bottom w:type="dxa" w:w="70"/>
              <w:right w:type="dxa" w:w="100"/>
            </w:tcMar>
          </w:tcPr>
          <w:p>
            <w:pPr>
              <w:spacing w:after="40"/>
            </w:pPr>
            <w:r>
              <w:rPr>
                <w:rFonts w:ascii="Calibri" w:cs="Calibri" w:eastAsia="Calibri" w:hAnsi="Calibri"/>
                <w:b/>
                <w:bCs/>
                <w:sz w:val="19"/>
                <w:szCs w:val="19"/>
              </w:rPr>
              <w:t xml:space="preserve">Sí, en texto</w:t>
            </w:r>
          </w:p>
        </w:tc>
        <w:tc>
          <w:tcPr>
            <w:tcW w:type="dxa" w:w="6200"/>
            <w:tcBorders>
              <w:top w:val="single" w:color="BFC3C8" w:sz="4"/>
              <w:left w:val="single" w:color="BFC3C8" w:sz="4"/>
              <w:bottom w:val="single" w:color="BFC3C8" w:sz="4"/>
              <w:right w:val="single" w:color="BFC3C8" w:sz="4"/>
            </w:tcBorders>
            <w:tcMar>
              <w:top w:type="dxa" w:w="70"/>
              <w:left w:type="dxa" w:w="100"/>
              <w:bottom w:type="dxa" w:w="70"/>
              <w:right w:type="dxa" w:w="100"/>
            </w:tcMar>
          </w:tcPr>
          <w:p>
            <w:pPr>
              <w:spacing w:after="40"/>
            </w:pPr>
            <w:r>
              <w:rPr>
                <w:rFonts w:ascii="Calibri" w:cs="Calibri" w:eastAsia="Calibri" w:hAnsi="Calibri"/>
                <w:sz w:val="19"/>
                <w:szCs w:val="19"/>
              </w:rPr>
              <w:t xml:space="preserve">Describe las dos unidades (Katueté y Campo 9), la apertura de Campo 9 en 2023 y la presencia operativa en ambas ubicaciones. No contiene cifras financieras.</w:t>
            </w:r>
          </w:p>
        </w:tc>
      </w:tr>
      <w:tr>
        <w:tc>
          <w:tcPr>
            <w:tcW w:type="dxa" w:w="2000"/>
            <w:tcBorders>
              <w:top w:val="single" w:color="BFC3C8" w:sz="4"/>
              <w:left w:val="single" w:color="BFC3C8" w:sz="4"/>
              <w:bottom w:val="single" w:color="BFC3C8" w:sz="4"/>
              <w:right w:val="single" w:color="BFC3C8" w:sz="4"/>
            </w:tcBorders>
            <w:shd w:fill="F3F4F5" w:color="auto" w:val="clear"/>
            <w:tcMar>
              <w:top w:type="dxa" w:w="70"/>
              <w:left w:type="dxa" w:w="100"/>
              <w:bottom w:type="dxa" w:w="70"/>
              <w:right w:type="dxa" w:w="100"/>
            </w:tcMar>
          </w:tcPr>
          <w:p>
            <w:pPr>
              <w:spacing w:after="40"/>
            </w:pPr>
            <w:r>
              <w:rPr>
                <w:rFonts w:ascii="Calibri" w:cs="Calibri" w:eastAsia="Calibri" w:hAnsi="Calibri"/>
                <w:b/>
                <w:bCs/>
                <w:sz w:val="19"/>
                <w:szCs w:val="19"/>
              </w:rPr>
              <w:t xml:space="preserve">Datos de la sociedad emisora</w:t>
            </w:r>
          </w:p>
        </w:tc>
        <w:tc>
          <w:tcPr>
            <w:tcW w:type="dxa" w:w="1500"/>
            <w:tcBorders>
              <w:top w:val="single" w:color="BFC3C8" w:sz="4"/>
              <w:left w:val="single" w:color="BFC3C8" w:sz="4"/>
              <w:bottom w:val="single" w:color="BFC3C8" w:sz="4"/>
              <w:right w:val="single" w:color="BFC3C8" w:sz="4"/>
            </w:tcBorders>
            <w:tcMar>
              <w:top w:type="dxa" w:w="70"/>
              <w:left w:type="dxa" w:w="100"/>
              <w:bottom w:type="dxa" w:w="70"/>
              <w:right w:type="dxa" w:w="100"/>
            </w:tcMar>
          </w:tcPr>
          <w:p>
            <w:pPr>
              <w:spacing w:after="40"/>
            </w:pPr>
            <w:r>
              <w:rPr>
                <w:rFonts w:ascii="Calibri" w:cs="Calibri" w:eastAsia="Calibri" w:hAnsi="Calibri"/>
                <w:b/>
                <w:bCs/>
                <w:sz w:val="19"/>
                <w:szCs w:val="19"/>
              </w:rPr>
              <w:t xml:space="preserve">Solo en el encabezado</w:t>
            </w:r>
          </w:p>
        </w:tc>
        <w:tc>
          <w:tcPr>
            <w:tcW w:type="dxa" w:w="6200"/>
            <w:tcBorders>
              <w:top w:val="single" w:color="BFC3C8" w:sz="4"/>
              <w:left w:val="single" w:color="BFC3C8" w:sz="4"/>
              <w:bottom w:val="single" w:color="BFC3C8" w:sz="4"/>
              <w:right w:val="single" w:color="BFC3C8" w:sz="4"/>
            </w:tcBorders>
            <w:tcMar>
              <w:top w:type="dxa" w:w="70"/>
              <w:left w:type="dxa" w:w="100"/>
              <w:bottom w:type="dxa" w:w="70"/>
              <w:right w:type="dxa" w:w="100"/>
            </w:tcMar>
          </w:tcPr>
          <w:p>
            <w:pPr>
              <w:spacing w:after="40"/>
            </w:pPr>
            <w:r>
              <w:rPr>
                <w:rFonts w:ascii="Calibri" w:cs="Calibri" w:eastAsia="Calibri" w:hAnsi="Calibri"/>
                <w:sz w:val="19"/>
                <w:szCs w:val="19"/>
              </w:rPr>
              <w:t xml:space="preserve">El encabezado lista ambas unidades como datos de contacto. El domicilio legal es Katueté (Ruta PY 03, km 355). No contiene cifras.</w:t>
            </w:r>
          </w:p>
        </w:tc>
      </w:tr>
    </w:tbl>
    <w:p>
      <w:pPr>
        <w:spacing w:after="60"/>
      </w:pPr>
      <w:r>
        <w:rPr>
          <w:rFonts w:ascii="Calibri" w:cs="Calibri" w:eastAsia="Calibri" w:hAnsi="Calibri"/>
          <w:sz w:val="20"/>
          <w:szCs w:val="20"/>
        </w:rPr>
        <w:t xml:space="preserve"/>
      </w:r>
    </w:p>
    <w:p>
      <w:pPr>
        <w:spacing w:after="100"/>
      </w:pPr>
      <w:r>
        <w:rPr>
          <w:rFonts w:ascii="Calibri" w:cs="Calibri" w:eastAsia="Calibri" w:hAnsi="Calibri"/>
          <w:b/>
          <w:bCs/>
          <w:sz w:val="20"/>
          <w:szCs w:val="20"/>
        </w:rPr>
        <w:t xml:space="preserve">Dato relevante: </w:t>
      </w:r>
      <w:r>
        <w:rPr>
          <w:rFonts w:ascii="Calibri" w:cs="Calibri" w:eastAsia="Calibri" w:hAnsi="Calibri"/>
          <w:sz w:val="20"/>
          <w:szCs w:val="20"/>
        </w:rPr>
        <w:t xml:space="preserve">según el prospecto, Campo 9 es una sucursal de la misma sociedad emisora, mientras que los demás establecimientos con la marca Tavares Group son de sociedades independientes. Por eso las cifras de ingresos, Ebitda, deuda, clientes y proveedores no pueden separarse por unidad con la información disponible.</w:t>
      </w:r>
    </w:p>
    <w:p>
      <w:pPr>
        <w:spacing w:after="100" w:before="220"/>
      </w:pPr>
      <w:r>
        <w:rPr>
          <w:rFonts w:ascii="Calibri" w:cs="Calibri" w:eastAsia="Calibri" w:hAnsi="Calibri"/>
          <w:b/>
          <w:bCs/>
          <w:color w:val="C8102E"/>
          <w:sz w:val="24"/>
          <w:szCs w:val="24"/>
        </w:rPr>
        <w:t xml:space="preserve">Consultas a confirmar</w:t>
      </w:r>
    </w:p>
    <w:p>
      <w:pPr>
        <w:pStyle w:val="ListParagraph"/>
        <w:numPr>
          <w:ilvl w:val="0"/>
          <w:numId w:val="2"/>
        </w:numPr>
        <w:spacing w:after="80"/>
      </w:pPr>
      <w:r>
        <w:rPr>
          <w:rFonts w:ascii="Calibri" w:cs="Calibri" w:eastAsia="Calibri" w:hAnsi="Calibri"/>
          <w:sz w:val="20"/>
          <w:szCs w:val="20"/>
        </w:rPr>
        <w:t xml:space="preserve">¿La emisión de bonos del Programa G1 corresponde a la sociedad completa (Repuestos Tavares S.A.E., con las unidades de Katueté y Campo 9) o únicamente a la unidad de Katueté?</w:t>
      </w:r>
    </w:p>
    <w:p>
      <w:pPr>
        <w:pStyle w:val="ListParagraph"/>
        <w:numPr>
          <w:ilvl w:val="0"/>
          <w:numId w:val="2"/>
        </w:numPr>
        <w:spacing w:after="80"/>
      </w:pPr>
      <w:r>
        <w:rPr>
          <w:rFonts w:ascii="Calibri" w:cs="Calibri" w:eastAsia="Calibri" w:hAnsi="Calibri"/>
          <w:sz w:val="20"/>
          <w:szCs w:val="20"/>
        </w:rPr>
        <w:t xml:space="preserve">Si corresponde solo a Katueté: ¿cómo se ajustarán el prospecto y las cifras financieras (ingresos, Ebitda, deuda, clientes y proveedores), que hoy son de la sociedad completa?</w:t>
      </w:r>
    </w:p>
    <w:p>
      <w:pPr>
        <w:pStyle w:val="ListParagraph"/>
        <w:numPr>
          <w:ilvl w:val="0"/>
          <w:numId w:val="2"/>
        </w:numPr>
        <w:spacing w:after="80"/>
      </w:pPr>
      <w:r>
        <w:rPr>
          <w:rFonts w:ascii="Calibri" w:cs="Calibri" w:eastAsia="Calibri" w:hAnsi="Calibri"/>
          <w:sz w:val="20"/>
          <w:szCs w:val="20"/>
        </w:rPr>
        <w:t xml:space="preserve">Si corresponde a la sociedad completa: ¿podemos mencionar y mostrar la unidad de Campo 9 en la presentación institucional?</w:t>
      </w:r>
    </w:p>
    <w:p>
      <w:pPr>
        <w:pStyle w:val="ListParagraph"/>
        <w:numPr>
          <w:ilvl w:val="0"/>
          <w:numId w:val="2"/>
        </w:numPr>
        <w:spacing w:after="80"/>
      </w:pPr>
      <w:r>
        <w:rPr>
          <w:rFonts w:ascii="Calibri" w:cs="Calibri" w:eastAsia="Calibri" w:hAnsi="Calibri"/>
          <w:sz w:val="20"/>
          <w:szCs w:val="20"/>
        </w:rPr>
        <w:t xml:space="preserve">¿Está autorizado el uso de la marca y el logo “Tavares Group”, del sitio web tavaresgroup.com.py y de las fotografías del sitio web, dado que el grupo también incluye establecimientos de terceros?</w:t>
      </w:r>
    </w:p>
    <w:p>
      <w:pPr>
        <w:pStyle w:val="ListParagraph"/>
        <w:numPr>
          <w:ilvl w:val="0"/>
          <w:numId w:val="2"/>
        </w:numPr>
        <w:spacing w:after="80"/>
      </w:pPr>
      <w:r>
        <w:rPr>
          <w:rFonts w:ascii="Calibri" w:cs="Calibri" w:eastAsia="Calibri" w:hAnsi="Calibri"/>
          <w:sz w:val="20"/>
          <w:szCs w:val="20"/>
        </w:rPr>
        <w:t xml:space="preserve">¿Pueden enviarnos fotografías propias de la unidad de Katueté (fachada, taller, equipo, camiones) para usar en la presentación?</w:t>
      </w:r>
    </w:p>
    <w:p>
      <w:pPr>
        <w:spacing w:after="60"/>
      </w:pPr>
      <w:r>
        <w:rPr>
          <w:rFonts w:ascii="Calibri" w:cs="Calibri" w:eastAsia="Calibri" w:hAnsi="Calibri"/>
          <w:sz w:val="20"/>
          <w:szCs w:val="20"/>
        </w:rPr>
        <w:t xml:space="preserve"/>
      </w:r>
    </w:p>
    <w:p>
      <w:pPr>
        <w:spacing w:after="100"/>
      </w:pPr>
      <w:r>
        <w:rPr>
          <w:rFonts w:ascii="Calibri" w:cs="Calibri" w:eastAsia="Calibri" w:hAnsi="Calibri"/>
          <w:i/>
          <w:iCs/>
          <w:color w:val="5B6675"/>
          <w:sz w:val="20"/>
          <w:szCs w:val="20"/>
        </w:rPr>
        <w:t xml:space="preserve">Quedamos atentos a la respuesta para ajustar la presentación en consecuencia.</w:t>
      </w:r>
    </w:p>
    <w:sectPr>
      <w:pgSz w:w="11906" w:h="16838" w:orient="portrait"/>
      <w:pgMar w:top="850" w:right="1134" w:bottom="750"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2026-09-29T13:33:01.179Z</dcterms:created>
  <dcterms:modified xsi:type="dcterms:W3CDTF">2026-09-29T13:33:01.179Z</dcterms:modified>
</cp:coreProperties>
</file>

<file path=docProps/custom.xml><?xml version="1.0" encoding="utf-8"?>
<Properties xmlns="http://schemas.openxmlformats.org/officeDocument/2006/custom-properties" xmlns:vt="http://schemas.openxmlformats.org/officeDocument/2006/docPropsVTypes"/>
</file>