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00" w:before="80"/>
        <w:jc w:val="center"/>
      </w:pPr>
      <w:r>
        <w:rPr>
          <w:rFonts w:ascii="Arial" w:cs="Arial" w:eastAsia="Arial" w:hAnsi="Arial"/>
          <w:b/>
          <w:bCs/>
          <w:color w:val="1A3A5C"/>
          <w:sz w:val="22"/>
          <w:szCs w:val="22"/>
        </w:rPr>
        <w:t xml:space="preserve">Centro de Formación Técnica Estatal de la Región de Valparaíso</w:t>
      </w:r>
    </w:p>
    <w:p>
      <w:pPr>
        <w:spacing w:after="100" w:before="80"/>
        <w:jc w:val="center"/>
      </w:pPr>
      <w:r>
        <w:rPr>
          <w:rFonts w:ascii="Arial" w:cs="Arial" w:eastAsia="Arial" w:hAnsi="Arial"/>
          <w:b/>
          <w:bCs/>
          <w:color w:val="1A3A5C"/>
          <w:sz w:val="20"/>
          <w:szCs w:val="20"/>
        </w:rPr>
        <w:t xml:space="preserve">CARRERA TNS EN INFORMÁTICA MENCIÓN CIBERSEGURIDAD</w:t>
      </w:r>
    </w:p>
    <w:p>
      <w:pPr>
        <w:spacing w:after="0" w:before="0"/>
      </w:pPr>
      <w:r>
        <w:t xml:space="preserve"/>
      </w:r>
    </w:p>
    <w:p>
      <w:pPr>
        <w:spacing w:after="0" w:before="0"/>
      </w:pPr>
      <w:r>
        <w:t xml:space="preserve"/>
      </w:r>
    </w:p>
    <w:p>
      <w:pPr>
        <w:spacing w:after="0" w:before="0"/>
      </w:pPr>
      <w:r>
        <w:t xml:space="preserve"/>
      </w:r>
    </w:p>
    <w:p>
      <w:pPr>
        <w:spacing w:after="100" w:before="80"/>
        <w:jc w:val="center"/>
      </w:pPr>
      <w:r>
        <w:rPr>
          <w:rFonts w:ascii="Arial" w:cs="Arial" w:eastAsia="Arial" w:hAnsi="Arial"/>
          <w:b/>
          <w:bCs/>
          <w:color w:val="1A3A5C"/>
          <w:sz w:val="28"/>
          <w:szCs w:val="28"/>
        </w:rPr>
        <w:t xml:space="preserve">INFORME DE TRABAJO DE TITULACIÓN</w:t>
      </w:r>
    </w:p>
    <w:p>
      <w:pPr>
        <w:spacing w:after="0" w:before="0"/>
      </w:pPr>
      <w:r>
        <w:t xml:space="preserve"/>
      </w:r>
    </w:p>
    <w:p>
      <w:pPr>
        <w:spacing w:after="0" w:before="0"/>
      </w:pPr>
      <w:r>
        <w:t xml:space="preserve"/>
      </w:r>
    </w:p>
    <w:p>
      <w:pPr>
        <w:spacing w:after="100" w:before="80"/>
        <w:jc w:val="center"/>
      </w:pPr>
      <w:r>
        <w:rPr>
          <w:rFonts w:ascii="Arial" w:cs="Arial" w:eastAsia="Arial" w:hAnsi="Arial"/>
          <w:b/>
          <w:bCs/>
          <w:color w:val="2563EB"/>
          <w:sz w:val="26"/>
          <w:szCs w:val="26"/>
        </w:rPr>
        <w:t xml:space="preserve">PymeShield — Panel de Seguridad de Red para PYMEs, Instituciones de Salud Primaria e Instituciones Educativas</w:t>
      </w:r>
    </w:p>
    <w:p>
      <w:pPr>
        <w:spacing w:after="0" w:before="0"/>
      </w:pPr>
      <w:r>
        <w:t xml:space="preserve"/>
      </w:r>
    </w:p>
    <w:p>
      <w:pPr>
        <w:spacing w:after="0" w:before="0"/>
      </w:pPr>
      <w:r>
        <w:t xml:space="preserve"/>
      </w:r>
    </w:p>
    <w:p>
      <w:pPr>
        <w:spacing w:after="0" w:before="0"/>
      </w:pPr>
      <w:r>
        <w:t xml:space="preserve"/>
      </w:r>
    </w:p>
    <w:p>
      <w:pPr>
        <w:spacing w:after="100" w:before="80"/>
        <w:jc w:val="center"/>
      </w:pPr>
      <w:r>
        <w:rPr>
          <w:rFonts w:ascii="Arial" w:cs="Arial" w:eastAsia="Arial" w:hAnsi="Arial"/>
          <w:b w:val="false"/>
          <w:bCs w:val="false"/>
          <w:color w:val="000000"/>
          <w:sz w:val="22"/>
          <w:szCs w:val="22"/>
        </w:rPr>
        <w:t xml:space="preserve">José Valdebenito Olivares</w:t>
      </w:r>
    </w:p>
    <w:p>
      <w:pPr>
        <w:spacing w:after="0" w:before="0"/>
      </w:pPr>
      <w:r>
        <w:t xml:space="preserve"/>
      </w:r>
    </w:p>
    <w:p>
      <w:pPr>
        <w:spacing w:after="100" w:before="80"/>
        <w:jc w:val="center"/>
      </w:pPr>
      <w:r>
        <w:rPr>
          <w:rFonts w:ascii="Arial" w:cs="Arial" w:eastAsia="Arial" w:hAnsi="Arial"/>
          <w:b w:val="false"/>
          <w:bCs w:val="false"/>
          <w:color w:val="000000"/>
          <w:sz w:val="22"/>
          <w:szCs w:val="22"/>
        </w:rPr>
        <w:t xml:space="preserve">Profesor/a Guía: Jorge Mancilla Monsalve</w:t>
      </w:r>
    </w:p>
    <w:p>
      <w:pPr>
        <w:spacing w:after="0" w:before="0"/>
      </w:pPr>
      <w:r>
        <w:t xml:space="preserve"/>
      </w:r>
    </w:p>
    <w:p>
      <w:pPr>
        <w:spacing w:after="100" w:before="80"/>
        <w:jc w:val="center"/>
      </w:pPr>
      <w:r>
        <w:rPr>
          <w:rFonts w:ascii="Arial" w:cs="Arial" w:eastAsia="Arial" w:hAnsi="Arial"/>
          <w:b w:val="false"/>
          <w:bCs w:val="false"/>
          <w:color w:val="000000"/>
          <w:sz w:val="22"/>
          <w:szCs w:val="22"/>
        </w:rPr>
        <w:t xml:space="preserve">Viña del Mar, Chile</w:t>
      </w:r>
    </w:p>
    <w:p>
      <w:pPr>
        <w:spacing w:after="100" w:before="80"/>
        <w:jc w:val="center"/>
      </w:pPr>
      <w:r>
        <w:rPr>
          <w:rFonts w:ascii="Arial" w:cs="Arial" w:eastAsia="Arial" w:hAnsi="Arial"/>
          <w:b w:val="false"/>
          <w:bCs w:val="false"/>
          <w:color w:val="000000"/>
          <w:sz w:val="22"/>
          <w:szCs w:val="22"/>
        </w:rPr>
        <w:t xml:space="preserve">2026</w:t>
      </w:r>
    </w:p>
    <w:p>
      <w:r>
        <w:br w:type="page"/>
      </w:r>
    </w:p>
    <w:p>
      <w:pPr>
        <w:pStyle w:val="Heading1"/>
        <w:spacing w:after="160" w:before="320"/>
      </w:pPr>
      <w:r>
        <w:rPr>
          <w:rFonts w:ascii="Arial" w:cs="Arial" w:eastAsia="Arial" w:hAnsi="Arial"/>
          <w:b/>
          <w:bCs/>
          <w:color w:val="1A3A5C"/>
          <w:sz w:val="28"/>
          <w:szCs w:val="28"/>
        </w:rPr>
        <w:t xml:space="preserve">ÍNDICE DE CONTENIDOS</w:t>
      </w:r>
    </w:p>
    <w:p>
      <w:pPr>
        <w:spacing w:after="100" w:before="80"/>
        <w:jc w:val="left"/>
      </w:pPr>
      <w:r>
        <w:rPr>
          <w:rFonts w:ascii="Arial" w:cs="Arial" w:eastAsia="Arial" w:hAnsi="Arial"/>
          <w:b w:val="false"/>
          <w:bCs w:val="false"/>
          <w:color w:val="000000"/>
          <w:sz w:val="20"/>
          <w:szCs w:val="20"/>
        </w:rPr>
        <w:t xml:space="preserve">DEDICATORIA .........................................................................................................</w:t>
      </w:r>
    </w:p>
    <w:p>
      <w:pPr>
        <w:spacing w:after="100" w:before="80"/>
        <w:jc w:val="left"/>
      </w:pPr>
      <w:r>
        <w:rPr>
          <w:rFonts w:ascii="Arial" w:cs="Arial" w:eastAsia="Arial" w:hAnsi="Arial"/>
          <w:b w:val="false"/>
          <w:bCs w:val="false"/>
          <w:color w:val="000000"/>
          <w:sz w:val="20"/>
          <w:szCs w:val="20"/>
        </w:rPr>
        <w:t xml:space="preserve">RESUMEN EJECUTIVO ..........................................................................................</w:t>
      </w:r>
    </w:p>
    <w:p>
      <w:pPr>
        <w:spacing w:after="100" w:before="80"/>
        <w:jc w:val="left"/>
      </w:pPr>
      <w:r>
        <w:rPr>
          <w:rFonts w:ascii="Arial" w:cs="Arial" w:eastAsia="Arial" w:hAnsi="Arial"/>
          <w:b w:val="false"/>
          <w:bCs w:val="false"/>
          <w:color w:val="000000"/>
          <w:sz w:val="20"/>
          <w:szCs w:val="20"/>
        </w:rPr>
        <w:t xml:space="preserve">INTRODUCCIÓN ....................................................................................................</w:t>
      </w:r>
    </w:p>
    <w:p>
      <w:pPr>
        <w:spacing w:after="100" w:before="80"/>
        <w:jc w:val="left"/>
      </w:pPr>
      <w:r>
        <w:rPr>
          <w:rFonts w:ascii="Arial" w:cs="Arial" w:eastAsia="Arial" w:hAnsi="Arial"/>
          <w:b w:val="false"/>
          <w:bCs w:val="false"/>
          <w:color w:val="000000"/>
          <w:sz w:val="20"/>
          <w:szCs w:val="20"/>
        </w:rPr>
        <w:t xml:space="preserve">CAPÍTULO 1 — ANTECEDENTES ........................................................................</w:t>
      </w:r>
    </w:p>
    <w:p>
      <w:pPr>
        <w:spacing w:after="100" w:before="80"/>
        <w:jc w:val="left"/>
      </w:pPr>
      <w:r>
        <w:rPr>
          <w:rFonts w:ascii="Arial" w:cs="Arial" w:eastAsia="Arial" w:hAnsi="Arial"/>
          <w:b w:val="false"/>
          <w:bCs w:val="false"/>
          <w:color w:val="000000"/>
          <w:sz w:val="20"/>
          <w:szCs w:val="20"/>
        </w:rPr>
        <w:t xml:space="preserve">   1.1 Contexto de la ciberseguridad en Chile .............................................</w:t>
      </w:r>
    </w:p>
    <w:p>
      <w:pPr>
        <w:spacing w:after="100" w:before="80"/>
        <w:jc w:val="left"/>
      </w:pPr>
      <w:r>
        <w:rPr>
          <w:rFonts w:ascii="Arial" w:cs="Arial" w:eastAsia="Arial" w:hAnsi="Arial"/>
          <w:b w:val="false"/>
          <w:bCs w:val="false"/>
          <w:color w:val="000000"/>
          <w:sz w:val="20"/>
          <w:szCs w:val="20"/>
        </w:rPr>
        <w:t xml:space="preserve">   1.2 Marco normativo (Ley 21.719 y Ley 21.663) .....................................</w:t>
      </w:r>
    </w:p>
    <w:p>
      <w:pPr>
        <w:spacing w:after="100" w:before="80"/>
        <w:jc w:val="left"/>
      </w:pPr>
      <w:r>
        <w:rPr>
          <w:rFonts w:ascii="Arial" w:cs="Arial" w:eastAsia="Arial" w:hAnsi="Arial"/>
          <w:b w:val="false"/>
          <w:bCs w:val="false"/>
          <w:color w:val="000000"/>
          <w:sz w:val="20"/>
          <w:szCs w:val="20"/>
        </w:rPr>
        <w:t xml:space="preserve">   1.3 Marco de referencia NIST CSF 2.0 ......................................................</w:t>
      </w:r>
    </w:p>
    <w:p>
      <w:pPr>
        <w:spacing w:after="100" w:before="80"/>
        <w:jc w:val="left"/>
      </w:pPr>
      <w:r>
        <w:rPr>
          <w:rFonts w:ascii="Arial" w:cs="Arial" w:eastAsia="Arial" w:hAnsi="Arial"/>
          <w:b w:val="false"/>
          <w:bCs w:val="false"/>
          <w:color w:val="000000"/>
          <w:sz w:val="20"/>
          <w:szCs w:val="20"/>
        </w:rPr>
        <w:t xml:space="preserve">   1.4 Segmentos objetivo .................................................................................</w:t>
      </w:r>
    </w:p>
    <w:p>
      <w:pPr>
        <w:spacing w:after="100" w:before="80"/>
        <w:jc w:val="left"/>
      </w:pPr>
      <w:r>
        <w:rPr>
          <w:rFonts w:ascii="Arial" w:cs="Arial" w:eastAsia="Arial" w:hAnsi="Arial"/>
          <w:b w:val="false"/>
          <w:bCs w:val="false"/>
          <w:color w:val="000000"/>
          <w:sz w:val="20"/>
          <w:szCs w:val="20"/>
        </w:rPr>
        <w:t xml:space="preserve">CAPÍTULO 2 — DISEÑO Y DESARROLLO DE LA SOLUCIÓN ..................</w:t>
      </w:r>
    </w:p>
    <w:p>
      <w:pPr>
        <w:spacing w:after="100" w:before="80"/>
        <w:jc w:val="left"/>
      </w:pPr>
      <w:r>
        <w:rPr>
          <w:rFonts w:ascii="Arial" w:cs="Arial" w:eastAsia="Arial" w:hAnsi="Arial"/>
          <w:b w:val="false"/>
          <w:bCs w:val="false"/>
          <w:color w:val="000000"/>
          <w:sz w:val="20"/>
          <w:szCs w:val="20"/>
        </w:rPr>
        <w:t xml:space="preserve">   2.1 Validación metodológica (5 Por Qués + Design Thinking) ..............</w:t>
      </w:r>
    </w:p>
    <w:p>
      <w:pPr>
        <w:spacing w:after="100" w:before="80"/>
        <w:jc w:val="left"/>
      </w:pPr>
      <w:r>
        <w:rPr>
          <w:rFonts w:ascii="Arial" w:cs="Arial" w:eastAsia="Arial" w:hAnsi="Arial"/>
          <w:b w:val="false"/>
          <w:bCs w:val="false"/>
          <w:color w:val="000000"/>
          <w:sz w:val="20"/>
          <w:szCs w:val="20"/>
        </w:rPr>
        <w:t xml:space="preserve">   2.2 Arquitectura de la solución ...................................................................</w:t>
      </w:r>
    </w:p>
    <w:p>
      <w:pPr>
        <w:spacing w:after="100" w:before="80"/>
        <w:jc w:val="left"/>
      </w:pPr>
      <w:r>
        <w:rPr>
          <w:rFonts w:ascii="Arial" w:cs="Arial" w:eastAsia="Arial" w:hAnsi="Arial"/>
          <w:b w:val="false"/>
          <w:bCs w:val="false"/>
          <w:color w:val="000000"/>
          <w:sz w:val="20"/>
          <w:szCs w:val="20"/>
        </w:rPr>
        <w:t xml:space="preserve">   2.3 Módulos del PMV .....................................................................................</w:t>
      </w:r>
    </w:p>
    <w:p>
      <w:pPr>
        <w:spacing w:after="100" w:before="80"/>
        <w:jc w:val="left"/>
      </w:pPr>
      <w:r>
        <w:rPr>
          <w:rFonts w:ascii="Arial" w:cs="Arial" w:eastAsia="Arial" w:hAnsi="Arial"/>
          <w:b w:val="false"/>
          <w:bCs w:val="false"/>
          <w:color w:val="000000"/>
          <w:sz w:val="20"/>
          <w:szCs w:val="20"/>
        </w:rPr>
        <w:t xml:space="preserve">   2.4 Stack tecnológico .....................................................................................</w:t>
      </w:r>
    </w:p>
    <w:p>
      <w:pPr>
        <w:spacing w:after="100" w:before="80"/>
        <w:jc w:val="left"/>
      </w:pPr>
      <w:r>
        <w:rPr>
          <w:rFonts w:ascii="Arial" w:cs="Arial" w:eastAsia="Arial" w:hAnsi="Arial"/>
          <w:b w:val="false"/>
          <w:bCs w:val="false"/>
          <w:color w:val="000000"/>
          <w:sz w:val="20"/>
          <w:szCs w:val="20"/>
        </w:rPr>
        <w:t xml:space="preserve">CAPÍTULO 3 — IMPLEMENTACIÓN Y PRUEBAS ..........................................</w:t>
      </w:r>
    </w:p>
    <w:p>
      <w:pPr>
        <w:spacing w:after="100" w:before="80"/>
        <w:jc w:val="left"/>
      </w:pPr>
      <w:r>
        <w:rPr>
          <w:rFonts w:ascii="Arial" w:cs="Arial" w:eastAsia="Arial" w:hAnsi="Arial"/>
          <w:b w:val="false"/>
          <w:bCs w:val="false"/>
          <w:color w:val="000000"/>
          <w:sz w:val="20"/>
          <w:szCs w:val="20"/>
        </w:rPr>
        <w:t xml:space="preserve">   3.1 Implementación del PMV ........................................................................</w:t>
      </w:r>
    </w:p>
    <w:p>
      <w:pPr>
        <w:spacing w:after="100" w:before="80"/>
        <w:jc w:val="left"/>
      </w:pPr>
      <w:r>
        <w:rPr>
          <w:rFonts w:ascii="Arial" w:cs="Arial" w:eastAsia="Arial" w:hAnsi="Arial"/>
          <w:b w:val="false"/>
          <w:bCs w:val="false"/>
          <w:color w:val="000000"/>
          <w:sz w:val="20"/>
          <w:szCs w:val="20"/>
        </w:rPr>
        <w:t xml:space="preserve">   3.2 Pruebas en red local real ........................................................................</w:t>
      </w:r>
    </w:p>
    <w:p>
      <w:pPr>
        <w:spacing w:after="100" w:before="80"/>
        <w:jc w:val="left"/>
      </w:pPr>
      <w:r>
        <w:rPr>
          <w:rFonts w:ascii="Arial" w:cs="Arial" w:eastAsia="Arial" w:hAnsi="Arial"/>
          <w:b w:val="false"/>
          <w:bCs w:val="false"/>
          <w:color w:val="000000"/>
          <w:sz w:val="20"/>
          <w:szCs w:val="20"/>
        </w:rPr>
        <w:t xml:space="preserve">   3.3 Resultados obtenidos ...............................................................................</w:t>
      </w:r>
    </w:p>
    <w:p>
      <w:pPr>
        <w:spacing w:after="100" w:before="80"/>
        <w:jc w:val="left"/>
      </w:pPr>
      <w:r>
        <w:rPr>
          <w:rFonts w:ascii="Arial" w:cs="Arial" w:eastAsia="Arial" w:hAnsi="Arial"/>
          <w:b w:val="false"/>
          <w:bCs w:val="false"/>
          <w:color w:val="000000"/>
          <w:sz w:val="20"/>
          <w:szCs w:val="20"/>
        </w:rPr>
        <w:t xml:space="preserve">CONCLUSIÓN Y RECOMENDACIONES ..............................................................</w:t>
      </w:r>
    </w:p>
    <w:p>
      <w:pPr>
        <w:spacing w:after="100" w:before="80"/>
        <w:jc w:val="left"/>
      </w:pPr>
      <w:r>
        <w:rPr>
          <w:rFonts w:ascii="Arial" w:cs="Arial" w:eastAsia="Arial" w:hAnsi="Arial"/>
          <w:b w:val="false"/>
          <w:bCs w:val="false"/>
          <w:color w:val="000000"/>
          <w:sz w:val="20"/>
          <w:szCs w:val="20"/>
        </w:rPr>
        <w:t xml:space="preserve">GLOSARIO ...............................................................................................................</w:t>
      </w:r>
    </w:p>
    <w:p>
      <w:pPr>
        <w:spacing w:after="100" w:before="80"/>
        <w:jc w:val="left"/>
      </w:pPr>
      <w:r>
        <w:rPr>
          <w:rFonts w:ascii="Arial" w:cs="Arial" w:eastAsia="Arial" w:hAnsi="Arial"/>
          <w:b w:val="false"/>
          <w:bCs w:val="false"/>
          <w:color w:val="000000"/>
          <w:sz w:val="20"/>
          <w:szCs w:val="20"/>
        </w:rPr>
        <w:t xml:space="preserve">REFERENCIAS BIBLIOGRÁFICAS .....................................................................</w:t>
      </w:r>
    </w:p>
    <w:p>
      <w:pPr>
        <w:spacing w:after="100" w:before="80"/>
        <w:jc w:val="left"/>
      </w:pPr>
      <w:r>
        <w:rPr>
          <w:rFonts w:ascii="Arial" w:cs="Arial" w:eastAsia="Arial" w:hAnsi="Arial"/>
          <w:b w:val="false"/>
          <w:bCs w:val="false"/>
          <w:color w:val="000000"/>
          <w:sz w:val="20"/>
          <w:szCs w:val="20"/>
        </w:rPr>
        <w:t xml:space="preserve">ANEXOS .....................................................................................................................</w:t>
      </w:r>
    </w:p>
    <w:p>
      <w:r>
        <w:br w:type="page"/>
      </w:r>
    </w:p>
    <w:p>
      <w:pPr>
        <w:pStyle w:val="Heading1"/>
        <w:spacing w:after="160" w:before="320"/>
      </w:pPr>
      <w:r>
        <w:rPr>
          <w:rFonts w:ascii="Arial" w:cs="Arial" w:eastAsia="Arial" w:hAnsi="Arial"/>
          <w:b/>
          <w:bCs/>
          <w:color w:val="1A3A5C"/>
          <w:sz w:val="28"/>
          <w:szCs w:val="28"/>
        </w:rPr>
        <w:t xml:space="preserve">DEDICATORIA</w:t>
      </w:r>
    </w:p>
    <w:p>
      <w:pPr>
        <w:spacing w:after="0" w:before="0"/>
      </w:pPr>
      <w:r>
        <w:t xml:space="preserve"/>
      </w:r>
    </w:p>
    <w:p>
      <w:pPr>
        <w:spacing w:after="0" w:before="0"/>
      </w:pPr>
      <w:r>
        <w:t xml:space="preserve"/>
      </w:r>
    </w:p>
    <w:p>
      <w:pPr>
        <w:spacing w:after="100" w:before="80"/>
        <w:jc w:val="center"/>
      </w:pPr>
      <w:r>
        <w:rPr>
          <w:rFonts w:ascii="Arial" w:cs="Arial" w:eastAsia="Arial" w:hAnsi="Arial"/>
          <w:b w:val="false"/>
          <w:bCs w:val="false"/>
          <w:color w:val="64748B"/>
          <w:sz w:val="22"/>
          <w:szCs w:val="22"/>
        </w:rPr>
        <w:t xml:space="preserve">(Completar con dedicatoria personal)</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spacing w:after="160" w:before="320"/>
      </w:pPr>
      <w:r>
        <w:rPr>
          <w:rFonts w:ascii="Arial" w:cs="Arial" w:eastAsia="Arial" w:hAnsi="Arial"/>
          <w:b/>
          <w:bCs/>
          <w:color w:val="1A3A5C"/>
          <w:sz w:val="28"/>
          <w:szCs w:val="28"/>
        </w:rPr>
        <w:t xml:space="preserve">RESUMEN EJECUTIVO</w:t>
      </w:r>
    </w:p>
    <w:p>
      <w:pPr>
        <w:spacing w:after="100" w:before="80"/>
        <w:jc w:val="both"/>
      </w:pPr>
      <w:r>
        <w:rPr>
          <w:rFonts w:ascii="Arial" w:cs="Arial" w:eastAsia="Arial" w:hAnsi="Arial"/>
          <w:b w:val="false"/>
          <w:bCs w:val="false"/>
          <w:color w:val="000000"/>
          <w:sz w:val="22"/>
          <w:szCs w:val="22"/>
        </w:rPr>
        <w:t xml:space="preserve">PymeShield es un sistema de gestión de seguridad de red diseñado para organizaciones que manejan datos sensibles pero carecen de personal TI especializado: PYMEs, instituciones de salud primaria (CESFAM, policlínicos) e instituciones educativas (colegios y liceos). La solución permite monitorear en tiempo real el estado de la red local, detectar dispositivos no autorizados, identificar puertos expuestos y generar recomendaciones en lenguaje simple para usuarios sin conocimientos técnicos.</w:t>
      </w:r>
    </w:p>
    <w:p>
      <w:pPr>
        <w:spacing w:after="100" w:before="80"/>
        <w:jc w:val="both"/>
      </w:pPr>
      <w:r>
        <w:rPr>
          <w:rFonts w:ascii="Arial" w:cs="Arial" w:eastAsia="Arial" w:hAnsi="Arial"/>
          <w:b w:val="false"/>
          <w:bCs w:val="false"/>
          <w:color w:val="000000"/>
          <w:sz w:val="22"/>
          <w:szCs w:val="22"/>
        </w:rPr>
        <w:t xml:space="preserve">El proyecto fue validado metodológicamente aplicando los 5 Por Qués de Sakichi Toyoda para identificar la causa raíz del problema, y Design Thinking (Tim Brown / IDEO) para diseñar la solución centrada en el usuario real. El sistema está fundamentado en el Marco de Ciberseguridad NIST CSF 2.0 y alineado con la Ley N° 21.719 de Protección de Datos Personales —vigente desde diciembre de 2026— y la Ley N° 21.663 sobre Ciberseguridad e Infraestructura Crítica.</w:t>
      </w:r>
    </w:p>
    <w:p>
      <w:pPr>
        <w:spacing w:after="100" w:before="80"/>
        <w:jc w:val="both"/>
      </w:pPr>
      <w:r>
        <w:rPr>
          <w:rFonts w:ascii="Arial" w:cs="Arial" w:eastAsia="Arial" w:hAnsi="Arial"/>
          <w:b w:val="false"/>
          <w:bCs w:val="false"/>
          <w:color w:val="000000"/>
          <w:sz w:val="22"/>
          <w:szCs w:val="22"/>
        </w:rPr>
        <w:t xml:space="preserve">El Producto Mínimo Viable (PMV) incluye cuatro módulos: escáner de red, monitor de puertos, panel de alertas y módulo de recomendaciones. Está construido con tecnología de código abierto (Node.js + Express + SQLite + nmap) y distribuido como aplicación portable para Windows, ejecutable con doble clic sin requerir instalación adicional.</w:t>
      </w:r>
    </w:p>
    <w:p>
      <w:r>
        <w:br w:type="page"/>
      </w:r>
    </w:p>
    <w:p>
      <w:pPr>
        <w:pStyle w:val="Heading1"/>
        <w:spacing w:after="160" w:before="320"/>
      </w:pPr>
      <w:r>
        <w:rPr>
          <w:rFonts w:ascii="Arial" w:cs="Arial" w:eastAsia="Arial" w:hAnsi="Arial"/>
          <w:b/>
          <w:bCs/>
          <w:color w:val="1A3A5C"/>
          <w:sz w:val="28"/>
          <w:szCs w:val="28"/>
        </w:rPr>
        <w:t xml:space="preserve">INTRODUCCIÓN</w:t>
      </w:r>
    </w:p>
    <w:p>
      <w:pPr>
        <w:spacing w:after="100" w:before="80"/>
        <w:jc w:val="both"/>
      </w:pPr>
      <w:r>
        <w:rPr>
          <w:rFonts w:ascii="Arial" w:cs="Arial" w:eastAsia="Arial" w:hAnsi="Arial"/>
          <w:b w:val="false"/>
          <w:bCs w:val="false"/>
          <w:color w:val="000000"/>
          <w:sz w:val="22"/>
          <w:szCs w:val="22"/>
        </w:rPr>
        <w:t xml:space="preserve">La digitalización acelerada ha ampliado la superficie de ataque de las organizaciones, pero no de forma equitativa. Mientras las grandes corporaciones cuentan con equipos de ciberseguridad dedicados y herramientas especializadas, las pequeñas y medianas empresas, los centros de salud primaria y los establecimientos educacionales quedan expuestos sin las mismas capacidades de protección.</w:t>
      </w:r>
    </w:p>
    <w:p>
      <w:pPr>
        <w:spacing w:after="100" w:before="80"/>
        <w:jc w:val="both"/>
      </w:pPr>
      <w:r>
        <w:rPr>
          <w:rFonts w:ascii="Arial" w:cs="Arial" w:eastAsia="Arial" w:hAnsi="Arial"/>
          <w:b w:val="false"/>
          <w:bCs w:val="false"/>
          <w:color w:val="000000"/>
          <w:sz w:val="22"/>
          <w:szCs w:val="22"/>
        </w:rPr>
        <w:t xml:space="preserve">En Chile, las PYMEs representan el 98,5% del tejido empresarial (Ministerio de Economía, 2023), los centros de Atención Primaria de Salud atienden al 80% de la población y los establecimientos educacionales atienden a más de 3,5 millones de estudiantes. Los tres segmentos manejan datos personales sensibles pero carecen de herramientas accesibles para protegerlos.</w:t>
      </w:r>
    </w:p>
    <w:p>
      <w:pPr>
        <w:spacing w:after="100" w:before="80"/>
        <w:jc w:val="both"/>
      </w:pPr>
      <w:r>
        <w:rPr>
          <w:rFonts w:ascii="Arial" w:cs="Arial" w:eastAsia="Arial" w:hAnsi="Arial"/>
          <w:b w:val="false"/>
          <w:bCs w:val="false"/>
          <w:color w:val="000000"/>
          <w:sz w:val="22"/>
          <w:szCs w:val="22"/>
        </w:rPr>
        <w:t xml:space="preserve">PymeShield nace para cubrir este espacio: una solución de monitoreo de red diseñada específicamente para usuarios sin conocimientos técnicos, que traduce la complejidad de la ciberseguridad en un semáforo simple y recomendaciones accionables. El presente informe documenta el proceso completo de desarrollo, desde la identificación del problema hasta la implementación y validación del Producto Mínimo Viable.</w:t>
      </w:r>
    </w:p>
    <w:p>
      <w:pPr>
        <w:spacing w:after="0" w:before="0"/>
      </w:pPr>
      <w:r>
        <w:t xml:space="preserve"/>
      </w:r>
    </w:p>
    <w:p>
      <w:pPr>
        <w:pStyle w:val="Heading2"/>
        <w:spacing w:after="120" w:before="240"/>
      </w:pPr>
      <w:r>
        <w:rPr>
          <w:rFonts w:ascii="Arial" w:cs="Arial" w:eastAsia="Arial" w:hAnsi="Arial"/>
          <w:b/>
          <w:bCs/>
          <w:color w:val="2563EB"/>
          <w:sz w:val="24"/>
          <w:szCs w:val="24"/>
        </w:rPr>
        <w:t xml:space="preserve">Objetivos</w:t>
      </w:r>
    </w:p>
    <w:p>
      <w:pPr>
        <w:spacing w:after="100" w:before="80"/>
        <w:jc w:val="left"/>
      </w:pPr>
      <w:r>
        <w:rPr>
          <w:rFonts w:ascii="Arial" w:cs="Arial" w:eastAsia="Arial" w:hAnsi="Arial"/>
          <w:b/>
          <w:bCs/>
          <w:color w:val="000000"/>
          <w:sz w:val="22"/>
          <w:szCs w:val="22"/>
        </w:rPr>
        <w:t xml:space="preserve">OBJETIVO GENERAL:</w:t>
      </w:r>
    </w:p>
    <w:p>
      <w:pPr>
        <w:spacing w:after="100" w:before="80"/>
        <w:jc w:val="both"/>
      </w:pPr>
      <w:r>
        <w:rPr>
          <w:rFonts w:ascii="Arial" w:cs="Arial" w:eastAsia="Arial" w:hAnsi="Arial"/>
          <w:b w:val="false"/>
          <w:bCs w:val="false"/>
          <w:color w:val="000000"/>
          <w:sz w:val="22"/>
          <w:szCs w:val="22"/>
        </w:rPr>
        <w:t xml:space="preserve">Desarrollar PymeShield, un sistema de gestión de seguridad de red portable e instalable en la red local de PYMEs, instituciones de salud primaria e instituciones educativas, que permita a usuarios sin conocimientos técnicos monitorear el estado de su red, detectar vulnerabilidades y cumplir con las obligaciones de la Ley N° 21.719.</w:t>
      </w:r>
    </w:p>
    <w:p>
      <w:pPr>
        <w:spacing w:after="0" w:before="0"/>
      </w:pPr>
      <w:r>
        <w:t xml:space="preserve"/>
      </w:r>
    </w:p>
    <w:p>
      <w:pPr>
        <w:spacing w:after="100" w:before="80"/>
        <w:jc w:val="left"/>
      </w:pPr>
      <w:r>
        <w:rPr>
          <w:rFonts w:ascii="Arial" w:cs="Arial" w:eastAsia="Arial" w:hAnsi="Arial"/>
          <w:b/>
          <w:bCs/>
          <w:color w:val="000000"/>
          <w:sz w:val="22"/>
          <w:szCs w:val="22"/>
        </w:rPr>
        <w:t xml:space="preserve">OBJETIVOS ESPECÍFICOS:</w:t>
      </w:r>
    </w:p>
    <w:p>
      <w:pPr>
        <w:pStyle w:val="ListParagraph"/>
        <w:numPr>
          <w:ilvl w:val="0"/>
          <w:numId w:val="2"/>
        </w:numPr>
        <w:spacing w:after="60" w:before="60"/>
      </w:pPr>
      <w:r>
        <w:rPr>
          <w:rFonts w:ascii="Arial" w:cs="Arial" w:eastAsia="Arial" w:hAnsi="Arial"/>
          <w:sz w:val="22"/>
          <w:szCs w:val="22"/>
        </w:rPr>
        <w:t xml:space="preserve">Analizar el contexto de ciberseguridad de los segmentos objetivo, identificando las principales vulnerabilidades y brechas de protección mediante la metodología de los 5 Por Qués y el marco NIST CSF 2.0.</w:t>
      </w:r>
    </w:p>
    <w:p>
      <w:pPr>
        <w:pStyle w:val="ListParagraph"/>
        <w:numPr>
          <w:ilvl w:val="0"/>
          <w:numId w:val="2"/>
        </w:numPr>
        <w:spacing w:after="60" w:before="60"/>
      </w:pPr>
      <w:r>
        <w:rPr>
          <w:rFonts w:ascii="Arial" w:cs="Arial" w:eastAsia="Arial" w:hAnsi="Arial"/>
          <w:sz w:val="22"/>
          <w:szCs w:val="22"/>
        </w:rPr>
        <w:t xml:space="preserve">Diseñar la arquitectura del sistema PymeShield aplicando Design Thinking, centrado en las necesidades de usuarios no técnicos, con interfaz de semáforo y alertas en lenguaje accesible.</w:t>
      </w:r>
    </w:p>
    <w:p>
      <w:pPr>
        <w:pStyle w:val="ListParagraph"/>
        <w:numPr>
          <w:ilvl w:val="0"/>
          <w:numId w:val="2"/>
        </w:numPr>
        <w:spacing w:after="60" w:before="60"/>
      </w:pPr>
      <w:r>
        <w:rPr>
          <w:rFonts w:ascii="Arial" w:cs="Arial" w:eastAsia="Arial" w:hAnsi="Arial"/>
          <w:sz w:val="22"/>
          <w:szCs w:val="22"/>
        </w:rPr>
        <w:t xml:space="preserve">Desarrollar el PMV con los módulos de escáner de red, monitor de puertos, panel de alertas y generador de recomendaciones, usando tecnología de código abierto portable para Windows.</w:t>
      </w:r>
    </w:p>
    <w:p>
      <w:pPr>
        <w:pStyle w:val="ListParagraph"/>
        <w:numPr>
          <w:ilvl w:val="0"/>
          <w:numId w:val="2"/>
        </w:numPr>
        <w:spacing w:after="60" w:before="60"/>
      </w:pPr>
      <w:r>
        <w:rPr>
          <w:rFonts w:ascii="Arial" w:cs="Arial" w:eastAsia="Arial" w:hAnsi="Arial"/>
          <w:sz w:val="22"/>
          <w:szCs w:val="22"/>
        </w:rPr>
        <w:t xml:space="preserve">Validar el funcionamiento de PymeShield en una red local real, documentando los resultados y generando evidencia de cumplimiento normativo.</w:t>
      </w:r>
    </w:p>
    <w:p>
      <w:r>
        <w:br w:type="page"/>
      </w:r>
    </w:p>
    <w:p>
      <w:pPr>
        <w:pStyle w:val="Heading1"/>
        <w:spacing w:after="160" w:before="320"/>
      </w:pPr>
      <w:r>
        <w:rPr>
          <w:rFonts w:ascii="Arial" w:cs="Arial" w:eastAsia="Arial" w:hAnsi="Arial"/>
          <w:b/>
          <w:bCs/>
          <w:color w:val="1A3A5C"/>
          <w:sz w:val="28"/>
          <w:szCs w:val="28"/>
        </w:rPr>
        <w:t xml:space="preserve">CAPÍTULO 1 — ANTECEDENTES</w:t>
      </w:r>
    </w:p>
    <w:p>
      <w:pPr>
        <w:pStyle w:val="Heading2"/>
        <w:spacing w:after="120" w:before="240"/>
      </w:pPr>
      <w:r>
        <w:rPr>
          <w:rFonts w:ascii="Arial" w:cs="Arial" w:eastAsia="Arial" w:hAnsi="Arial"/>
          <w:b/>
          <w:bCs/>
          <w:color w:val="2563EB"/>
          <w:sz w:val="24"/>
          <w:szCs w:val="24"/>
        </w:rPr>
        <w:t xml:space="preserve">1.1 Contexto de la ciberseguridad en Chile</w:t>
      </w:r>
    </w:p>
    <w:p>
      <w:pPr>
        <w:spacing w:after="100" w:before="80"/>
        <w:jc w:val="both"/>
      </w:pPr>
      <w:r>
        <w:rPr>
          <w:rFonts w:ascii="Arial" w:cs="Arial" w:eastAsia="Arial" w:hAnsi="Arial"/>
          <w:b w:val="false"/>
          <w:bCs w:val="false"/>
          <w:color w:val="000000"/>
          <w:sz w:val="22"/>
          <w:szCs w:val="22"/>
        </w:rPr>
        <w:t xml:space="preserve">Chile registró más de 6.400 millones de intentos de ciberataques durante 2024 (Fortinet, 2024), consolidándose como uno de los países más atacados de América Latina. El 43% de estos ataques tiene como objetivo a PYMEs (Verizon DBIR, 2024), organizaciones que, paradójicamente, son las más vulnerables por carecer de recursos técnicos y económicos para protegerse.</w:t>
      </w:r>
    </w:p>
    <w:p>
      <w:pPr>
        <w:spacing w:after="100" w:before="80"/>
        <w:jc w:val="both"/>
      </w:pPr>
      <w:r>
        <w:rPr>
          <w:rFonts w:ascii="Arial" w:cs="Arial" w:eastAsia="Arial" w:hAnsi="Arial"/>
          <w:b w:val="false"/>
          <w:bCs w:val="false"/>
          <w:color w:val="000000"/>
          <w:sz w:val="22"/>
          <w:szCs w:val="22"/>
        </w:rPr>
        <w:t xml:space="preserve">El sector salud es especialmente crítico: representa el 45% de todas las brechas de datos a nivel global (IBM Security, 2023), con un costo promedio de USD 10,93 millones por incidente (IBM, 2024). En el ámbito educacional, 1 de cada 5 colegios en Chile sufrió un incidente de ciberseguridad en 2023 (Mineduc/Enlaces, 2023). El 88% de los centros de Atención Primaria de Salud no cuenta con personal TI dedicado (Minsal, 2023).</w:t>
      </w:r>
    </w:p>
    <w:p>
      <w:pPr>
        <w:spacing w:after="0" w:before="0"/>
      </w:pPr>
      <w:r>
        <w:t xml:space="preserve"/>
      </w:r>
    </w:p>
    <w:p>
      <w:pPr>
        <w:pStyle w:val="Heading2"/>
        <w:spacing w:after="120" w:before="240"/>
      </w:pPr>
      <w:r>
        <w:rPr>
          <w:rFonts w:ascii="Arial" w:cs="Arial" w:eastAsia="Arial" w:hAnsi="Arial"/>
          <w:b/>
          <w:bCs/>
          <w:color w:val="2563EB"/>
          <w:sz w:val="24"/>
          <w:szCs w:val="24"/>
        </w:rPr>
        <w:t xml:space="preserve">1.2 Marco normativo</w:t>
      </w:r>
    </w:p>
    <w:p>
      <w:pPr>
        <w:spacing w:after="100" w:before="80"/>
        <w:jc w:val="both"/>
      </w:pPr>
      <w:r>
        <w:rPr>
          <w:rFonts w:ascii="Arial" w:cs="Arial" w:eastAsia="Arial" w:hAnsi="Arial"/>
          <w:b w:val="false"/>
          <w:bCs w:val="false"/>
          <w:color w:val="000000"/>
          <w:sz w:val="22"/>
          <w:szCs w:val="22"/>
        </w:rPr>
        <w:t xml:space="preserve">LEY N° 21.719 — Protección de Datos Personales (vigente desde el 1 de diciembre de 2026): Reemplaza la antigua Ley 19.628, crea la Agencia de Protección de Datos Personales y exige a toda organización que trate datos personales adoptar medidas técnicas de seguridad (Art. 14 quinquies). Las infracciones gravísimas pueden ser sancionadas con multas de hasta 20.000 UTM (~USD 1.550.000).</w:t>
      </w:r>
    </w:p>
    <w:p>
      <w:pPr>
        <w:spacing w:after="100" w:before="80"/>
        <w:jc w:val="both"/>
      </w:pPr>
      <w:r>
        <w:rPr>
          <w:rFonts w:ascii="Arial" w:cs="Arial" w:eastAsia="Arial" w:hAnsi="Arial"/>
          <w:b w:val="false"/>
          <w:bCs w:val="false"/>
          <w:color w:val="000000"/>
          <w:sz w:val="22"/>
          <w:szCs w:val="22"/>
        </w:rPr>
        <w:t xml:space="preserve">LEY N° 21.663 — Ciberseguridad e Infraestructura Crítica de la Información (Abril 2024): Crea la Agencia Nacional de Ciberseguridad (ANCI) y obliga directamente a los Prestadores de Servicios Esenciales (PSE) y Operadores de Importancia Vital (OIV) — sectores de energía, agua, banca, telecomunicaciones y salud pública — a reportar incidentes al CSIRT del Gobierno de Chile en un máximo de 3 horas. Las PYMEs, CESFAM y colegios no son PSE ni OIV, pero quedan expuestos por dos vías: (1) efecto arrastre: si proveen servicios tecnológicos a un PSE u OIV, la ANCI puede requerirles información en una investigación de incidente; (2) si su red es usada como vector de ataque hacia un tercero, enfrentan responsabilidad bajo la Ley N° 21.459.</w:t>
      </w:r>
    </w:p>
    <w:p>
      <w:pPr>
        <w:spacing w:after="100" w:before="80"/>
        <w:jc w:val="both"/>
      </w:pPr>
      <w:r>
        <w:rPr>
          <w:rFonts w:ascii="Arial" w:cs="Arial" w:eastAsia="Arial" w:hAnsi="Arial"/>
          <w:b w:val="false"/>
          <w:bCs w:val="false"/>
          <w:color w:val="000000"/>
          <w:sz w:val="22"/>
          <w:szCs w:val="22"/>
        </w:rPr>
        <w:t xml:space="preserve">LEY N° 21.459 — Delitos Informáticos (2022): Tipifica los delitos informáticos en Chile según el Convenio de Budapest. Si la red de una organización pequeña es comprometida y se convierte en vector de ataque hacia un tercero, esa organización enfrenta responsabilidad penal independiente de su tamaño o clasificación. No protegerse no es una defensa legal: es una agravante.</w:t>
      </w:r>
    </w:p>
    <w:p>
      <w:pPr>
        <w:spacing w:after="100" w:before="80"/>
        <w:jc w:val="both"/>
      </w:pPr>
      <w:r>
        <w:rPr>
          <w:rFonts w:ascii="Arial" w:cs="Arial" w:eastAsia="Arial" w:hAnsi="Arial"/>
          <w:b w:val="false"/>
          <w:bCs w:val="false"/>
          <w:color w:val="1D6A3A"/>
          <w:sz w:val="22"/>
          <w:szCs w:val="22"/>
        </w:rPr>
        <w:t xml:space="preserve">Conclusión normativa: La pregunta para las organizaciones pequeñas no es si las leyes les aplican directamente. Es cuándo les va a llegar la consecuencia. PymeShield les permite prepararse antes de que eso ocurra.</w:t>
      </w:r>
    </w:p>
    <w:p>
      <w:pPr>
        <w:spacing w:after="0" w:before="0"/>
      </w:pPr>
      <w:r>
        <w:t xml:space="preserve"/>
      </w:r>
    </w:p>
    <w:p>
      <w:pPr>
        <w:pStyle w:val="Heading2"/>
        <w:spacing w:after="120" w:before="240"/>
      </w:pPr>
      <w:r>
        <w:rPr>
          <w:rFonts w:ascii="Arial" w:cs="Arial" w:eastAsia="Arial" w:hAnsi="Arial"/>
          <w:b/>
          <w:bCs/>
          <w:color w:val="2563EB"/>
          <w:sz w:val="24"/>
          <w:szCs w:val="24"/>
        </w:rPr>
        <w:t xml:space="preserve">1.3 Marco de referencia NIST CSF 2.0</w:t>
      </w:r>
    </w:p>
    <w:p>
      <w:pPr>
        <w:spacing w:after="100" w:before="80"/>
        <w:jc w:val="both"/>
      </w:pPr>
      <w:r>
        <w:rPr>
          <w:rFonts w:ascii="Arial" w:cs="Arial" w:eastAsia="Arial" w:hAnsi="Arial"/>
          <w:b w:val="false"/>
          <w:bCs w:val="false"/>
          <w:color w:val="000000"/>
          <w:sz w:val="22"/>
          <w:szCs w:val="22"/>
        </w:rPr>
        <w:t xml:space="preserve">PymeShield se fundamenta en el NIST Cybersecurity Framework 2.0 (National Institute of Standards and Technology, febrero 2024), el estándar internacional de referencia para la gestión de riesgos de ciberseguridad. Sus seis funciones —Gobernar, Identificar, Proteger, Detectar, Responder y Recuperar— estructuran los módulos de la solución.</w:t>
      </w:r>
    </w:p>
    <w:p>
      <w:pPr>
        <w:spacing w:after="0" w:before="0"/>
      </w:pPr>
      <w:r>
        <w:t xml:space="preserve"/>
      </w:r>
    </w:p>
    <w:p>
      <w:pPr>
        <w:pStyle w:val="Heading2"/>
        <w:spacing w:after="120" w:before="240"/>
      </w:pPr>
      <w:r>
        <w:rPr>
          <w:rFonts w:ascii="Arial" w:cs="Arial" w:eastAsia="Arial" w:hAnsi="Arial"/>
          <w:b/>
          <w:bCs/>
          <w:color w:val="2563EB"/>
          <w:sz w:val="24"/>
          <w:szCs w:val="24"/>
        </w:rPr>
        <w:t xml:space="preserve">1.4 Segmentos objetivo</w:t>
      </w:r>
    </w:p>
    <w:p>
      <w:pPr>
        <w:spacing w:after="100" w:before="80"/>
        <w:jc w:val="both"/>
      </w:pPr>
      <w:r>
        <w:rPr>
          <w:rFonts w:ascii="Arial" w:cs="Arial" w:eastAsia="Arial" w:hAnsi="Arial"/>
          <w:b w:val="false"/>
          <w:bCs w:val="false"/>
          <w:color w:val="000000"/>
          <w:sz w:val="22"/>
          <w:szCs w:val="22"/>
        </w:rPr>
        <w:t xml:space="preserve">PymeShield se dirige a tres segmentos que comparten una característica crítica: quedan fuera de la clasificación de Operadores de Infraestructura Vital (OIV), lo que significa que no reciben apoyo técnico gubernamental, pero igualmente están obligados por la normativa vigente.</w:t>
      </w:r>
    </w:p>
    <w:p>
      <w:pPr>
        <w:pStyle w:val="ListParagraph"/>
        <w:numPr>
          <w:ilvl w:val="0"/>
          <w:numId w:val="3"/>
        </w:numPr>
        <w:spacing w:after="60" w:before="60"/>
      </w:pPr>
      <w:r>
        <w:rPr>
          <w:rFonts w:ascii="Arial" w:cs="Arial" w:eastAsia="Arial" w:hAnsi="Arial"/>
          <w:b/>
          <w:bCs/>
          <w:sz w:val="22"/>
          <w:szCs w:val="22"/>
        </w:rPr>
        <w:t xml:space="preserve">PYMEs: </w:t>
      </w:r>
      <w:r>
        <w:rPr>
          <w:rFonts w:ascii="Arial" w:cs="Arial" w:eastAsia="Arial" w:hAnsi="Arial"/>
          <w:sz w:val="22"/>
          <w:szCs w:val="22"/>
        </w:rPr>
        <w:t xml:space="preserve">10 a 199 trabajadores, sector servicios/comercio, con datos de clientes. Mercado: ~950.000 empresas en Chile.</w:t>
      </w:r>
    </w:p>
    <w:p>
      <w:pPr>
        <w:pStyle w:val="ListParagraph"/>
        <w:numPr>
          <w:ilvl w:val="0"/>
          <w:numId w:val="3"/>
        </w:numPr>
        <w:spacing w:after="60" w:before="60"/>
      </w:pPr>
      <w:r>
        <w:rPr>
          <w:rFonts w:ascii="Arial" w:cs="Arial" w:eastAsia="Arial" w:hAnsi="Arial"/>
          <w:b/>
          <w:bCs/>
          <w:sz w:val="22"/>
          <w:szCs w:val="22"/>
        </w:rPr>
        <w:t xml:space="preserve">Instituciones de Salud Primaria: </w:t>
      </w:r>
      <w:r>
        <w:rPr>
          <w:rFonts w:ascii="Arial" w:cs="Arial" w:eastAsia="Arial" w:hAnsi="Arial"/>
          <w:sz w:val="22"/>
          <w:szCs w:val="22"/>
        </w:rPr>
        <w:t xml:space="preserve">CESFAM y policlínicos con datos de salud especialmente protegidos. Mercado: ~1.800 centros de APS.</w:t>
      </w:r>
    </w:p>
    <w:p>
      <w:pPr>
        <w:pStyle w:val="ListParagraph"/>
        <w:numPr>
          <w:ilvl w:val="0"/>
          <w:numId w:val="3"/>
        </w:numPr>
        <w:spacing w:after="60" w:before="60"/>
      </w:pPr>
      <w:r>
        <w:rPr>
          <w:rFonts w:ascii="Arial" w:cs="Arial" w:eastAsia="Arial" w:hAnsi="Arial"/>
          <w:b/>
          <w:bCs/>
          <w:sz w:val="22"/>
          <w:szCs w:val="22"/>
        </w:rPr>
        <w:t xml:space="preserve">Instituciones Educativas: </w:t>
      </w:r>
      <w:r>
        <w:rPr>
          <w:rFonts w:ascii="Arial" w:cs="Arial" w:eastAsia="Arial" w:hAnsi="Arial"/>
          <w:sz w:val="22"/>
          <w:szCs w:val="22"/>
        </w:rPr>
        <w:t xml:space="preserve">Colegios y liceos con datos de menores de edad. Mercado: ~11.000 establecimientos en Chile.</w:t>
      </w:r>
    </w:p>
    <w:p>
      <w:r>
        <w:br w:type="page"/>
      </w:r>
    </w:p>
    <w:p>
      <w:pPr>
        <w:pStyle w:val="Heading1"/>
        <w:spacing w:after="160" w:before="320"/>
      </w:pPr>
      <w:r>
        <w:rPr>
          <w:rFonts w:ascii="Arial" w:cs="Arial" w:eastAsia="Arial" w:hAnsi="Arial"/>
          <w:b/>
          <w:bCs/>
          <w:color w:val="1A3A5C"/>
          <w:sz w:val="28"/>
          <w:szCs w:val="28"/>
        </w:rPr>
        <w:t xml:space="preserve">CAPÍTULO 2 — DISEÑO Y DESARROLLO DE LA SOLUCIÓN</w:t>
      </w:r>
    </w:p>
    <w:p>
      <w:pPr>
        <w:pStyle w:val="Heading2"/>
        <w:spacing w:after="120" w:before="240"/>
      </w:pPr>
      <w:r>
        <w:rPr>
          <w:rFonts w:ascii="Arial" w:cs="Arial" w:eastAsia="Arial" w:hAnsi="Arial"/>
          <w:b/>
          <w:bCs/>
          <w:color w:val="2563EB"/>
          <w:sz w:val="24"/>
          <w:szCs w:val="24"/>
        </w:rPr>
        <w:t xml:space="preserve">2.1 Validación metodológica</w:t>
      </w:r>
    </w:p>
    <w:p>
      <w:pPr>
        <w:spacing w:after="100" w:before="80"/>
        <w:jc w:val="both"/>
      </w:pPr>
      <w:r>
        <w:rPr>
          <w:rFonts w:ascii="Arial" w:cs="Arial" w:eastAsia="Arial" w:hAnsi="Arial"/>
          <w:b w:val="false"/>
          <w:bCs w:val="false"/>
          <w:color w:val="000000"/>
          <w:sz w:val="22"/>
          <w:szCs w:val="22"/>
        </w:rPr>
        <w:t xml:space="preserve">La idea de PymeShield fue validada usando dos metodologías complementarias:</w:t>
      </w:r>
    </w:p>
    <w:p>
      <w:pPr>
        <w:spacing w:after="100" w:before="80"/>
        <w:jc w:val="both"/>
      </w:pPr>
      <w:r>
        <w:rPr>
          <w:rFonts w:ascii="Arial" w:cs="Arial" w:eastAsia="Arial" w:hAnsi="Arial"/>
          <w:b w:val="false"/>
          <w:bCs w:val="false"/>
          <w:color w:val="000000"/>
          <w:sz w:val="22"/>
          <w:szCs w:val="22"/>
        </w:rPr>
        <w:t xml:space="preserve">5 POR QUÉS DE SAKICHI TOYODA: El análisis iterativo de causa raíz reveló que el problema fundamental no es técnico sino de acceso y diseño: el mercado de ciberseguridad históricamente ignoró al segmento más vulnerable por ser menos rentable, dejando a más de 960.000 organizaciones en Chile sin herramientas accesibles.</w:t>
      </w:r>
    </w:p>
    <w:p>
      <w:pPr>
        <w:spacing w:after="100" w:before="80"/>
        <w:jc w:val="both"/>
      </w:pPr>
      <w:r>
        <w:rPr>
          <w:rFonts w:ascii="Arial" w:cs="Arial" w:eastAsia="Arial" w:hAnsi="Arial"/>
          <w:b w:val="false"/>
          <w:bCs w:val="false"/>
          <w:color w:val="000000"/>
          <w:sz w:val="22"/>
          <w:szCs w:val="22"/>
        </w:rPr>
        <w:t xml:space="preserve">DESIGN THINKING (TIM BROWN / IDEO): Las cinco etapas —Empatizar, Definir, Idear, Prototipar y Evaluar— garantizaron que la solución fue diseñada desde las necesidades reales de Claudia (dueña de PYME), María José (directora de CESFAM) y Roberto (director de liceo), no desde la tecnología disponible.</w:t>
      </w:r>
    </w:p>
    <w:p>
      <w:pPr>
        <w:spacing w:after="0" w:before="0"/>
      </w:pPr>
      <w:r>
        <w:t xml:space="preserve"/>
      </w:r>
    </w:p>
    <w:p>
      <w:pPr>
        <w:pStyle w:val="Heading2"/>
        <w:spacing w:after="120" w:before="240"/>
      </w:pPr>
      <w:r>
        <w:rPr>
          <w:rFonts w:ascii="Arial" w:cs="Arial" w:eastAsia="Arial" w:hAnsi="Arial"/>
          <w:b/>
          <w:bCs/>
          <w:color w:val="2563EB"/>
          <w:sz w:val="24"/>
          <w:szCs w:val="24"/>
        </w:rPr>
        <w:t xml:space="preserve">2.2 Arquitectura de la solución</w:t>
      </w:r>
    </w:p>
    <w:p>
      <w:pPr>
        <w:spacing w:after="100" w:before="80"/>
        <w:jc w:val="both"/>
      </w:pPr>
      <w:r>
        <w:rPr>
          <w:rFonts w:ascii="Arial" w:cs="Arial" w:eastAsia="Arial" w:hAnsi="Arial"/>
          <w:b w:val="false"/>
          <w:bCs w:val="false"/>
          <w:color w:val="000000"/>
          <w:sz w:val="22"/>
          <w:szCs w:val="22"/>
        </w:rPr>
        <w:t xml:space="preserve">PymeShield utiliza una arquitectura de tres capas sobre tecnología de código abierto:</w:t>
      </w:r>
    </w:p>
    <w:p>
      <w:pPr>
        <w:pStyle w:val="ListParagraph"/>
        <w:numPr>
          <w:ilvl w:val="0"/>
          <w:numId w:val="3"/>
        </w:numPr>
        <w:spacing w:after="60" w:before="60"/>
      </w:pPr>
      <w:r>
        <w:rPr>
          <w:rFonts w:ascii="Arial" w:cs="Arial" w:eastAsia="Arial" w:hAnsi="Arial"/>
          <w:b/>
          <w:bCs/>
          <w:sz w:val="22"/>
          <w:szCs w:val="22"/>
        </w:rPr>
        <w:t xml:space="preserve">Frontend: </w:t>
      </w:r>
      <w:r>
        <w:rPr>
          <w:rFonts w:ascii="Arial" w:cs="Arial" w:eastAsia="Arial" w:hAnsi="Arial"/>
          <w:sz w:val="22"/>
          <w:szCs w:val="22"/>
        </w:rPr>
        <w:t xml:space="preserve">HTML + CSS + JavaScript vanilla. Sin frameworks. Funciona en cualquier navegador sin configuración adicional.</w:t>
      </w:r>
    </w:p>
    <w:p>
      <w:pPr>
        <w:pStyle w:val="ListParagraph"/>
        <w:numPr>
          <w:ilvl w:val="0"/>
          <w:numId w:val="3"/>
        </w:numPr>
        <w:spacing w:after="60" w:before="60"/>
      </w:pPr>
      <w:r>
        <w:rPr>
          <w:rFonts w:ascii="Arial" w:cs="Arial" w:eastAsia="Arial" w:hAnsi="Arial"/>
          <w:b/>
          <w:bCs/>
          <w:sz w:val="22"/>
          <w:szCs w:val="22"/>
        </w:rPr>
        <w:t xml:space="preserve">Backend: </w:t>
      </w:r>
      <w:r>
        <w:rPr>
          <w:rFonts w:ascii="Arial" w:cs="Arial" w:eastAsia="Arial" w:hAnsi="Arial"/>
          <w:sz w:val="22"/>
          <w:szCs w:val="22"/>
        </w:rPr>
        <w:t xml:space="preserve">Node.js + Express. API REST que procesa los resultados del escaneo y gestiona la base de datos.</w:t>
      </w:r>
    </w:p>
    <w:p>
      <w:pPr>
        <w:pStyle w:val="ListParagraph"/>
        <w:numPr>
          <w:ilvl w:val="0"/>
          <w:numId w:val="3"/>
        </w:numPr>
        <w:spacing w:after="60" w:before="60"/>
      </w:pPr>
      <w:r>
        <w:rPr>
          <w:rFonts w:ascii="Arial" w:cs="Arial" w:eastAsia="Arial" w:hAnsi="Arial"/>
          <w:b/>
          <w:bCs/>
          <w:sz w:val="22"/>
          <w:szCs w:val="22"/>
        </w:rPr>
        <w:t xml:space="preserve">Base de datos: </w:t>
      </w:r>
      <w:r>
        <w:rPr>
          <w:rFonts w:ascii="Arial" w:cs="Arial" w:eastAsia="Arial" w:hAnsi="Arial"/>
          <w:sz w:val="22"/>
          <w:szCs w:val="22"/>
        </w:rPr>
        <w:t xml:space="preserve">SQLite (archivo local) gestionado con Prisma ORM. Sin servidor de base de datos. Migrable a PostgreSQL con un cambio de configuración.</w:t>
      </w:r>
    </w:p>
    <w:p>
      <w:pPr>
        <w:pStyle w:val="ListParagraph"/>
        <w:numPr>
          <w:ilvl w:val="0"/>
          <w:numId w:val="3"/>
        </w:numPr>
        <w:spacing w:after="60" w:before="60"/>
      </w:pPr>
      <w:r>
        <w:rPr>
          <w:rFonts w:ascii="Arial" w:cs="Arial" w:eastAsia="Arial" w:hAnsi="Arial"/>
          <w:b/>
          <w:bCs/>
          <w:sz w:val="22"/>
          <w:szCs w:val="22"/>
        </w:rPr>
        <w:t xml:space="preserve">Escaneo de red: </w:t>
      </w:r>
      <w:r>
        <w:rPr>
          <w:rFonts w:ascii="Arial" w:cs="Arial" w:eastAsia="Arial" w:hAnsi="Arial"/>
          <w:sz w:val="22"/>
          <w:szCs w:val="22"/>
        </w:rPr>
        <w:t xml:space="preserve">nmap portable + node-nmap. nmap es el estándar mundial de auditoría de redes, integrado al backend de Node.js.</w:t>
      </w:r>
    </w:p>
    <w:p>
      <w:pPr>
        <w:pStyle w:val="ListParagraph"/>
        <w:numPr>
          <w:ilvl w:val="0"/>
          <w:numId w:val="3"/>
        </w:numPr>
        <w:spacing w:after="60" w:before="60"/>
      </w:pPr>
      <w:r>
        <w:rPr>
          <w:rFonts w:ascii="Arial" w:cs="Arial" w:eastAsia="Arial" w:hAnsi="Arial"/>
          <w:b/>
          <w:bCs/>
          <w:sz w:val="22"/>
          <w:szCs w:val="22"/>
        </w:rPr>
        <w:t xml:space="preserve">Distribución: </w:t>
      </w:r>
      <w:r>
        <w:rPr>
          <w:rFonts w:ascii="Arial" w:cs="Arial" w:eastAsia="Arial" w:hAnsi="Arial"/>
          <w:sz w:val="22"/>
          <w:szCs w:val="22"/>
        </w:rPr>
        <w:t xml:space="preserve">Aplicación portable para Windows. El usuario hace doble clic en 'Iniciar PymeShield.bat' y la aplicación abre en el navegador. Sin instalación.</w:t>
      </w:r>
    </w:p>
    <w:p>
      <w:pPr>
        <w:spacing w:after="0" w:before="0"/>
      </w:pPr>
      <w:r>
        <w:t xml:space="preserve"/>
      </w:r>
    </w:p>
    <w:p>
      <w:pPr>
        <w:pStyle w:val="Heading2"/>
        <w:spacing w:after="120" w:before="240"/>
      </w:pPr>
      <w:r>
        <w:rPr>
          <w:rFonts w:ascii="Arial" w:cs="Arial" w:eastAsia="Arial" w:hAnsi="Arial"/>
          <w:b/>
          <w:bCs/>
          <w:color w:val="2563EB"/>
          <w:sz w:val="24"/>
          <w:szCs w:val="24"/>
        </w:rPr>
        <w:t xml:space="preserve">2.3 Módulos del PMV</w:t>
      </w:r>
    </w:p>
    <w:p>
      <w:pPr>
        <w:pStyle w:val="ListParagraph"/>
        <w:numPr>
          <w:ilvl w:val="0"/>
          <w:numId w:val="3"/>
        </w:numPr>
        <w:spacing w:after="60" w:before="60"/>
      </w:pPr>
      <w:r>
        <w:rPr>
          <w:rFonts w:ascii="Arial" w:cs="Arial" w:eastAsia="Arial" w:hAnsi="Arial"/>
          <w:b/>
          <w:bCs/>
          <w:sz w:val="22"/>
          <w:szCs w:val="22"/>
        </w:rPr>
        <w:t xml:space="preserve">Escáner de red: </w:t>
      </w:r>
      <w:r>
        <w:rPr>
          <w:rFonts w:ascii="Arial" w:cs="Arial" w:eastAsia="Arial" w:hAnsi="Arial"/>
          <w:sz w:val="22"/>
          <w:szCs w:val="22"/>
        </w:rPr>
        <w:t xml:space="preserve">Detecta y lista todos los dispositivos activos en la red local. Función NIST: IDENTIFICAR.</w:t>
      </w:r>
    </w:p>
    <w:p>
      <w:pPr>
        <w:pStyle w:val="ListParagraph"/>
        <w:numPr>
          <w:ilvl w:val="0"/>
          <w:numId w:val="3"/>
        </w:numPr>
        <w:spacing w:after="60" w:before="60"/>
      </w:pPr>
      <w:r>
        <w:rPr>
          <w:rFonts w:ascii="Arial" w:cs="Arial" w:eastAsia="Arial" w:hAnsi="Arial"/>
          <w:b/>
          <w:bCs/>
          <w:sz w:val="22"/>
          <w:szCs w:val="22"/>
        </w:rPr>
        <w:t xml:space="preserve">Monitor de puertos: </w:t>
      </w:r>
      <w:r>
        <w:rPr>
          <w:rFonts w:ascii="Arial" w:cs="Arial" w:eastAsia="Arial" w:hAnsi="Arial"/>
          <w:sz w:val="22"/>
          <w:szCs w:val="22"/>
        </w:rPr>
        <w:t xml:space="preserve">Identifica puertos abiertos y asigna nivel de riesgo semafórico (rojo/amarillo/verde). Función NIST: PROTEGER.</w:t>
      </w:r>
    </w:p>
    <w:p>
      <w:pPr>
        <w:pStyle w:val="ListParagraph"/>
        <w:numPr>
          <w:ilvl w:val="0"/>
          <w:numId w:val="3"/>
        </w:numPr>
        <w:spacing w:after="60" w:before="60"/>
      </w:pPr>
      <w:r>
        <w:rPr>
          <w:rFonts w:ascii="Arial" w:cs="Arial" w:eastAsia="Arial" w:hAnsi="Arial"/>
          <w:b/>
          <w:bCs/>
          <w:sz w:val="22"/>
          <w:szCs w:val="22"/>
        </w:rPr>
        <w:t xml:space="preserve">Panel de alertas: </w:t>
      </w:r>
      <w:r>
        <w:rPr>
          <w:rFonts w:ascii="Arial" w:cs="Arial" w:eastAsia="Arial" w:hAnsi="Arial"/>
          <w:sz w:val="22"/>
          <w:szCs w:val="22"/>
        </w:rPr>
        <w:t xml:space="preserve">Notificaciones en tiempo real en lenguaje simple ante eventos anómalos. Función NIST: DETECTAR.</w:t>
      </w:r>
    </w:p>
    <w:p>
      <w:pPr>
        <w:pStyle w:val="ListParagraph"/>
        <w:numPr>
          <w:ilvl w:val="0"/>
          <w:numId w:val="3"/>
        </w:numPr>
        <w:spacing w:after="60" w:before="60"/>
      </w:pPr>
      <w:r>
        <w:rPr>
          <w:rFonts w:ascii="Arial" w:cs="Arial" w:eastAsia="Arial" w:hAnsi="Arial"/>
          <w:b/>
          <w:bCs/>
          <w:sz w:val="22"/>
          <w:szCs w:val="22"/>
        </w:rPr>
        <w:t xml:space="preserve">Módulo de recomendaciones: </w:t>
      </w:r>
      <w:r>
        <w:rPr>
          <w:rFonts w:ascii="Arial" w:cs="Arial" w:eastAsia="Arial" w:hAnsi="Arial"/>
          <w:sz w:val="22"/>
          <w:szCs w:val="22"/>
        </w:rPr>
        <w:t xml:space="preserve">Plan de acción priorizado con pasos concretos en lenguaje accesible. Función NIST: RESPONDER.</w:t>
      </w:r>
    </w:p>
    <w:p>
      <w:pPr>
        <w:pStyle w:val="ListParagraph"/>
        <w:numPr>
          <w:ilvl w:val="0"/>
          <w:numId w:val="3"/>
        </w:numPr>
        <w:spacing w:after="60" w:before="60"/>
      </w:pPr>
      <w:r>
        <w:rPr>
          <w:rFonts w:ascii="Arial" w:cs="Arial" w:eastAsia="Arial" w:hAnsi="Arial"/>
          <w:b/>
          <w:bCs/>
          <w:sz w:val="22"/>
          <w:szCs w:val="22"/>
        </w:rPr>
        <w:t xml:space="preserve">Módulo de contención: </w:t>
      </w:r>
      <w:r>
        <w:rPr>
          <w:rFonts w:ascii="Arial" w:cs="Arial" w:eastAsia="Arial" w:hAnsi="Arial"/>
          <w:sz w:val="22"/>
          <w:szCs w:val="22"/>
        </w:rPr>
        <w:t xml:space="preserve">Bloqueo de dispositivos por dirección IP y MAC con confirmación del usuario. Función NIST: RESPONDER.</w:t>
      </w:r>
    </w:p>
    <w:p>
      <w:pPr>
        <w:pStyle w:val="ListParagraph"/>
        <w:numPr>
          <w:ilvl w:val="0"/>
          <w:numId w:val="3"/>
        </w:numPr>
        <w:spacing w:after="60" w:before="60"/>
      </w:pPr>
      <w:r>
        <w:rPr>
          <w:rFonts w:ascii="Arial" w:cs="Arial" w:eastAsia="Arial" w:hAnsi="Arial"/>
          <w:b/>
          <w:bCs/>
          <w:sz w:val="22"/>
          <w:szCs w:val="22"/>
        </w:rPr>
        <w:t xml:space="preserve">Generador de reportes: </w:t>
      </w:r>
      <w:r>
        <w:rPr>
          <w:rFonts w:ascii="Arial" w:cs="Arial" w:eastAsia="Arial" w:hAnsi="Arial"/>
          <w:sz w:val="22"/>
          <w:szCs w:val="22"/>
        </w:rPr>
        <w:t xml:space="preserve">Exportación en PDF con historial de incidentes, acciones tomadas y recomendaciones. Listo para enviar a técnico externo o al CSIRT. Función NIST: RECUPERAR.</w:t>
      </w:r>
    </w:p>
    <w:p>
      <w:pPr>
        <w:spacing w:after="0" w:before="0"/>
      </w:pPr>
      <w:r>
        <w:t xml:space="preserve"/>
      </w:r>
    </w:p>
    <w:p>
      <w:pPr>
        <w:pStyle w:val="Heading2"/>
        <w:spacing w:after="120" w:before="240"/>
      </w:pPr>
      <w:r>
        <w:rPr>
          <w:rFonts w:ascii="Arial" w:cs="Arial" w:eastAsia="Arial" w:hAnsi="Arial"/>
          <w:b/>
          <w:bCs/>
          <w:color w:val="2563EB"/>
          <w:sz w:val="24"/>
          <w:szCs w:val="24"/>
        </w:rPr>
        <w:t xml:space="preserve">2.4 Flujo operacional del sistema</w:t>
      </w:r>
    </w:p>
    <w:p>
      <w:pPr>
        <w:spacing w:after="100" w:before="80"/>
        <w:jc w:val="both"/>
      </w:pPr>
      <w:r>
        <w:rPr>
          <w:rFonts w:ascii="Arial" w:cs="Arial" w:eastAsia="Arial" w:hAnsi="Arial"/>
          <w:sz w:val="22"/>
          <w:szCs w:val="22"/>
        </w:rPr>
        <w:t xml:space="preserve">El sistema opera en un ciclo continuo de siete etapas que cubre desde la detección hasta la recuperación, alineado con el NIST CSF 2.0:</w:t>
      </w:r>
    </w:p>
    <w:p>
      <w:pPr>
        <w:pStyle w:val="ListParagraph"/>
        <w:numPr>
          <w:ilvl w:val="0"/>
          <w:numId w:val="3"/>
        </w:numPr>
        <w:spacing w:after="60" w:before="60"/>
      </w:pPr>
      <w:r>
        <w:rPr>
          <w:rFonts w:ascii="Arial" w:cs="Arial" w:eastAsia="Arial" w:hAnsi="Arial"/>
          <w:b/>
          <w:bCs/>
          <w:sz w:val="22"/>
          <w:szCs w:val="22"/>
        </w:rPr>
        <w:t xml:space="preserve">DETECTA: </w:t>
      </w:r>
      <w:r>
        <w:rPr>
          <w:rFonts w:ascii="Arial" w:cs="Arial" w:eastAsia="Arial" w:hAnsi="Arial"/>
          <w:sz w:val="22"/>
          <w:szCs w:val="22"/>
        </w:rPr>
        <w:t xml:space="preserve">Nmap escanea la red local identificando dispositivos, puertos abiertos y servicios activos. El monitor DNS registra consultas hacia dominios externos.</w:t>
      </w:r>
    </w:p>
    <w:p>
      <w:pPr>
        <w:pStyle w:val="ListParagraph"/>
        <w:numPr>
          <w:ilvl w:val="0"/>
          <w:numId w:val="3"/>
        </w:numPr>
        <w:spacing w:after="60" w:before="60"/>
      </w:pPr>
      <w:r>
        <w:rPr>
          <w:rFonts w:ascii="Arial" w:cs="Arial" w:eastAsia="Arial" w:hAnsi="Arial"/>
          <w:b/>
          <w:bCs/>
          <w:sz w:val="22"/>
          <w:szCs w:val="22"/>
        </w:rPr>
        <w:t xml:space="preserve">ANALIZA: </w:t>
      </w:r>
      <w:r>
        <w:rPr>
          <w:rFonts w:ascii="Arial" w:cs="Arial" w:eastAsia="Arial" w:hAnsi="Arial"/>
          <w:sz w:val="22"/>
          <w:szCs w:val="22"/>
        </w:rPr>
        <w:t xml:space="preserve">El backend cruza los hallazgos con la base de datos de dispositivos autorizados y consulta la API de VirusTotal para verificar reputación de IPs y dominios sospechosos.</w:t>
      </w:r>
    </w:p>
    <w:p>
      <w:pPr>
        <w:pStyle w:val="ListParagraph"/>
        <w:numPr>
          <w:ilvl w:val="0"/>
          <w:numId w:val="3"/>
        </w:numPr>
        <w:spacing w:after="60" w:before="60"/>
      </w:pPr>
      <w:r>
        <w:rPr>
          <w:rFonts w:ascii="Arial" w:cs="Arial" w:eastAsia="Arial" w:hAnsi="Arial"/>
          <w:b/>
          <w:bCs/>
          <w:sz w:val="22"/>
          <w:szCs w:val="22"/>
        </w:rPr>
        <w:t xml:space="preserve">ALERTA: </w:t>
      </w:r>
      <w:r>
        <w:rPr>
          <w:rFonts w:ascii="Arial" w:cs="Arial" w:eastAsia="Arial" w:hAnsi="Arial"/>
          <w:sz w:val="22"/>
          <w:szCs w:val="22"/>
        </w:rPr>
        <w:t xml:space="preserve">WebSocket envía la alerta al dashboard en tiempo real. El usuario ve un mensaje en lenguaje simple con nivel de criticidad semafórico (rojo / amarillo / azul).</w:t>
      </w:r>
    </w:p>
    <w:p>
      <w:pPr>
        <w:pStyle w:val="ListParagraph"/>
        <w:numPr>
          <w:ilvl w:val="0"/>
          <w:numId w:val="3"/>
        </w:numPr>
        <w:spacing w:after="60" w:before="60"/>
      </w:pPr>
      <w:r>
        <w:rPr>
          <w:rFonts w:ascii="Arial" w:cs="Arial" w:eastAsia="Arial" w:hAnsi="Arial"/>
          <w:b/>
          <w:bCs/>
          <w:sz w:val="22"/>
          <w:szCs w:val="22"/>
        </w:rPr>
        <w:t xml:space="preserve">ACTÚA: </w:t>
      </w:r>
      <w:r>
        <w:rPr>
          <w:rFonts w:ascii="Arial" w:cs="Arial" w:eastAsia="Arial" w:hAnsi="Arial"/>
          <w:sz w:val="22"/>
          <w:szCs w:val="22"/>
        </w:rPr>
        <w:t xml:space="preserve">Con confirmación expresa del usuario, el sistema puede bloquear un dispositivo por IP o dirección MAC. Todo bloqueo es reversible con un clic.</w:t>
      </w:r>
    </w:p>
    <w:p>
      <w:pPr>
        <w:pStyle w:val="ListParagraph"/>
        <w:numPr>
          <w:ilvl w:val="0"/>
          <w:numId w:val="3"/>
        </w:numPr>
        <w:spacing w:after="60" w:before="60"/>
      </w:pPr>
      <w:r>
        <w:rPr>
          <w:rFonts w:ascii="Arial" w:cs="Arial" w:eastAsia="Arial" w:hAnsi="Arial"/>
          <w:b/>
          <w:bCs/>
          <w:sz w:val="22"/>
          <w:szCs w:val="22"/>
        </w:rPr>
        <w:t xml:space="preserve">GUÍA: </w:t>
      </w:r>
      <w:r>
        <w:rPr>
          <w:rFonts w:ascii="Arial" w:cs="Arial" w:eastAsia="Arial" w:hAnsi="Arial"/>
          <w:sz w:val="22"/>
          <w:szCs w:val="22"/>
        </w:rPr>
        <w:t xml:space="preserve">Para problemas que requieren intervención técnica, el sistema entrega instrucciones paso a paso en lenguaje accesible adaptadas al tipo de incidente.</w:t>
      </w:r>
    </w:p>
    <w:p>
      <w:pPr>
        <w:pStyle w:val="ListParagraph"/>
        <w:numPr>
          <w:ilvl w:val="0"/>
          <w:numId w:val="3"/>
        </w:numPr>
        <w:spacing w:after="60" w:before="60"/>
      </w:pPr>
      <w:r>
        <w:rPr>
          <w:rFonts w:ascii="Arial" w:cs="Arial" w:eastAsia="Arial" w:hAnsi="Arial"/>
          <w:b/>
          <w:bCs/>
          <w:sz w:val="22"/>
          <w:szCs w:val="22"/>
        </w:rPr>
        <w:t xml:space="preserve">REGISTRA: </w:t>
      </w:r>
      <w:r>
        <w:rPr>
          <w:rFonts w:ascii="Arial" w:cs="Arial" w:eastAsia="Arial" w:hAnsi="Arial"/>
          <w:sz w:val="22"/>
          <w:szCs w:val="22"/>
        </w:rPr>
        <w:t xml:space="preserve">Cada evento, alerta y acción queda almacenado en la base de datos local con timestamp, permitiendo auditoría y comparación histórica.</w:t>
      </w:r>
    </w:p>
    <w:p>
      <w:pPr>
        <w:pStyle w:val="ListParagraph"/>
        <w:numPr>
          <w:ilvl w:val="0"/>
          <w:numId w:val="3"/>
        </w:numPr>
        <w:spacing w:after="60" w:before="60"/>
      </w:pPr>
      <w:r>
        <w:rPr>
          <w:rFonts w:ascii="Arial" w:cs="Arial" w:eastAsia="Arial" w:hAnsi="Arial"/>
          <w:b/>
          <w:bCs/>
          <w:sz w:val="22"/>
          <w:szCs w:val="22"/>
        </w:rPr>
        <w:t xml:space="preserve">REPORTA: </w:t>
      </w:r>
      <w:r>
        <w:rPr>
          <w:rFonts w:ascii="Arial" w:cs="Arial" w:eastAsia="Arial" w:hAnsi="Arial"/>
          <w:sz w:val="22"/>
          <w:szCs w:val="22"/>
        </w:rPr>
        <w:t xml:space="preserve">El usuario genera un reporte PDF con un clic, con el historial del incidente listo para enviar a un técnico externo o como evidencia de cumplimiento normativo.</w:t>
      </w:r>
    </w:p>
    <w:p>
      <w:pPr>
        <w:spacing w:after="0" w:before="0"/>
      </w:pPr>
      <w:r>
        <w:t xml:space="preserve"/>
      </w:r>
    </w:p>
    <w:p>
      <w:pPr>
        <w:pStyle w:val="Heading2"/>
        <w:spacing w:after="120" w:before="240"/>
      </w:pPr>
      <w:r>
        <w:rPr>
          <w:rFonts w:ascii="Arial" w:cs="Arial" w:eastAsia="Arial" w:hAnsi="Arial"/>
          <w:b/>
          <w:bCs/>
          <w:color w:val="2563EB"/>
          <w:sz w:val="24"/>
          <w:szCs w:val="24"/>
        </w:rPr>
        <w:t xml:space="preserve">2.5 Principios de diseño: la app ayuda, no genera problemas</w:t>
      </w:r>
    </w:p>
    <w:p>
      <w:pPr>
        <w:spacing w:after="100" w:before="80"/>
        <w:jc w:val="both"/>
      </w:pPr>
      <w:r>
        <w:rPr>
          <w:rFonts w:ascii="Arial" w:cs="Arial" w:eastAsia="Arial" w:hAnsi="Arial"/>
          <w:sz w:val="22"/>
          <w:szCs w:val="22"/>
        </w:rPr>
        <w:t xml:space="preserve">Una herramienta de ciberseguridad mal diseñada puede bloquear dispositivos legítimos, generar falsos positivos que nadie atiende o dar una falsa sensación de seguridad. PymeShield evita estos riesgos aplicando cinco principios de diseño:</w:t>
      </w:r>
    </w:p>
    <w:p>
      <w:pPr>
        <w:pStyle w:val="ListParagraph"/>
        <w:numPr>
          <w:ilvl w:val="0"/>
          <w:numId w:val="3"/>
        </w:numPr>
        <w:spacing w:after="60" w:before="60"/>
      </w:pPr>
      <w:r>
        <w:rPr>
          <w:rFonts w:ascii="Arial" w:cs="Arial" w:eastAsia="Arial" w:hAnsi="Arial"/>
          <w:b/>
          <w:bCs/>
          <w:sz w:val="22"/>
          <w:szCs w:val="22"/>
        </w:rPr>
        <w:t xml:space="preserve">Nunca actúa sola en decisiones críticas: </w:t>
      </w:r>
      <w:r>
        <w:rPr>
          <w:rFonts w:ascii="Arial" w:cs="Arial" w:eastAsia="Arial" w:hAnsi="Arial"/>
          <w:sz w:val="22"/>
          <w:szCs w:val="22"/>
        </w:rPr>
        <w:t xml:space="preserve">El sistema detecta y propone; el usuario decide. Ningún bloqueo se ejecuta sin confirmación expresa.</w:t>
      </w:r>
    </w:p>
    <w:p>
      <w:pPr>
        <w:pStyle w:val="ListParagraph"/>
        <w:numPr>
          <w:ilvl w:val="0"/>
          <w:numId w:val="3"/>
        </w:numPr>
        <w:spacing w:after="60" w:before="60"/>
      </w:pPr>
      <w:r>
        <w:rPr>
          <w:rFonts w:ascii="Arial" w:cs="Arial" w:eastAsia="Arial" w:hAnsi="Arial"/>
          <w:b/>
          <w:bCs/>
          <w:sz w:val="22"/>
          <w:szCs w:val="22"/>
        </w:rPr>
        <w:t xml:space="preserve">Todo bloqueo es reversible: </w:t>
      </w:r>
      <w:r>
        <w:rPr>
          <w:rFonts w:ascii="Arial" w:cs="Arial" w:eastAsia="Arial" w:hAnsi="Arial"/>
          <w:sz w:val="22"/>
          <w:szCs w:val="22"/>
        </w:rPr>
        <w:t xml:space="preserve">Cualquier acción tomada tiene un botón de deshacer. Ningún bloqueo es permanente sin confirmación adicional del usuario.</w:t>
      </w:r>
    </w:p>
    <w:p>
      <w:pPr>
        <w:pStyle w:val="ListParagraph"/>
        <w:numPr>
          <w:ilvl w:val="0"/>
          <w:numId w:val="3"/>
        </w:numPr>
        <w:spacing w:after="60" w:before="60"/>
      </w:pPr>
      <w:r>
        <w:rPr>
          <w:rFonts w:ascii="Arial" w:cs="Arial" w:eastAsia="Arial" w:hAnsi="Arial"/>
          <w:b/>
          <w:bCs/>
          <w:sz w:val="22"/>
          <w:szCs w:val="22"/>
        </w:rPr>
        <w:t xml:space="preserve">Tres niveles de alerta, no todo es urgente: </w:t>
      </w:r>
      <w:r>
        <w:rPr>
          <w:rFonts w:ascii="Arial" w:cs="Arial" w:eastAsia="Arial" w:hAnsi="Arial"/>
          <w:sz w:val="22"/>
          <w:szCs w:val="22"/>
        </w:rPr>
        <w:t xml:space="preserve">Rojo (actúa ahora), Amarillo (revisa pronto), Azul (para tu conocimiento). Evita la fatiga de alertas.</w:t>
      </w:r>
    </w:p>
    <w:p>
      <w:pPr>
        <w:pStyle w:val="ListParagraph"/>
        <w:numPr>
          <w:ilvl w:val="0"/>
          <w:numId w:val="3"/>
        </w:numPr>
        <w:spacing w:after="60" w:before="60"/>
      </w:pPr>
      <w:r>
        <w:rPr>
          <w:rFonts w:ascii="Arial" w:cs="Arial" w:eastAsia="Arial" w:hAnsi="Arial"/>
          <w:b/>
          <w:bCs/>
          <w:sz w:val="22"/>
          <w:szCs w:val="22"/>
        </w:rPr>
        <w:t xml:space="preserve">Lista blanca desde el primer día: </w:t>
      </w:r>
      <w:r>
        <w:rPr>
          <w:rFonts w:ascii="Arial" w:cs="Arial" w:eastAsia="Arial" w:hAnsi="Arial"/>
          <w:sz w:val="22"/>
          <w:szCs w:val="22"/>
        </w:rPr>
        <w:t xml:space="preserve">Al instalar, el sistema aprende qué dispositivos ya existen en la red y los marca como seguros. Nunca bloquea algo que ya estaba.</w:t>
      </w:r>
    </w:p>
    <w:p>
      <w:pPr>
        <w:pStyle w:val="ListParagraph"/>
        <w:numPr>
          <w:ilvl w:val="0"/>
          <w:numId w:val="3"/>
        </w:numPr>
        <w:spacing w:after="60" w:before="60"/>
      </w:pPr>
      <w:r>
        <w:rPr>
          <w:rFonts w:ascii="Arial" w:cs="Arial" w:eastAsia="Arial" w:hAnsi="Arial"/>
          <w:b/>
          <w:bCs/>
          <w:sz w:val="22"/>
          <w:szCs w:val="22"/>
        </w:rPr>
        <w:t xml:space="preserve">Modo consulta por defecto: </w:t>
      </w:r>
      <w:r>
        <w:rPr>
          <w:rFonts w:ascii="Arial" w:cs="Arial" w:eastAsia="Arial" w:hAnsi="Arial"/>
          <w:sz w:val="22"/>
          <w:szCs w:val="22"/>
        </w:rPr>
        <w:t xml:space="preserve">Para usuarios sin TI, el sistema solo alerta y guía por defecto. El modo de acciones automáticas se activa solo si el administrador lo habilita explícitamente.</w:t>
      </w:r>
    </w:p>
    <w:p>
      <w:pPr>
        <w:spacing w:after="0" w:before="0"/>
      </w:pPr>
      <w:r>
        <w:t xml:space="preserve"/>
      </w:r>
    </w:p>
    <w:p>
      <w:pPr>
        <w:spacing w:after="100" w:before="80"/>
        <w:jc w:val="both"/>
      </w:pPr>
      <w:r>
        <w:rPr>
          <w:rFonts w:ascii="Arial" w:cs="Arial" w:eastAsia="Arial" w:hAnsi="Arial"/>
          <w:b w:val="false"/>
          <w:bCs w:val="false"/>
          <w:color w:val="000000"/>
          <w:sz w:val="22"/>
          <w:szCs w:val="22"/>
        </w:rPr>
        <w:t xml:space="preserve">La elección del stack tecnológico responde al criterio de simplicidad y portabilidad: Node.js permite usar un solo lenguaje (JavaScript) en frontend y backend; SQLite elimina la necesidad de instalar un servidor de base de datos; nmap aporta credibilidad técnica al ser el estándar mundial de auditoría de redes. La distribución como aplicación portable garantiza que cualquier organización puede instalarla sin conocimientos técnicos.</w:t>
      </w:r>
    </w:p>
    <w:p>
      <w:r>
        <w:br w:type="page"/>
      </w:r>
    </w:p>
    <w:p>
      <w:pPr>
        <w:pStyle w:val="Heading1"/>
        <w:spacing w:after="160" w:before="320"/>
      </w:pPr>
      <w:r>
        <w:rPr>
          <w:rFonts w:ascii="Arial" w:cs="Arial" w:eastAsia="Arial" w:hAnsi="Arial"/>
          <w:b/>
          <w:bCs/>
          <w:color w:val="1A3A5C"/>
          <w:sz w:val="28"/>
          <w:szCs w:val="28"/>
        </w:rPr>
        <w:t xml:space="preserve">CAPÍTULO 3 — IMPLEMENTACIÓN Y PRUEBAS</w:t>
      </w:r>
    </w:p>
    <w:p>
      <w:pPr>
        <w:pStyle w:val="Heading2"/>
        <w:spacing w:after="120" w:before="240"/>
      </w:pPr>
      <w:r>
        <w:rPr>
          <w:rFonts w:ascii="Arial" w:cs="Arial" w:eastAsia="Arial" w:hAnsi="Arial"/>
          <w:b/>
          <w:bCs/>
          <w:color w:val="2563EB"/>
          <w:sz w:val="24"/>
          <w:szCs w:val="24"/>
        </w:rPr>
        <w:t xml:space="preserve">3.1 Implementación del PMV</w:t>
      </w:r>
    </w:p>
    <w:p>
      <w:pPr>
        <w:spacing w:after="100" w:before="80"/>
        <w:jc w:val="left"/>
      </w:pPr>
      <w:r>
        <w:t>La implementación del Producto Mínimo Viable (PMV) de la plataforma PymeShield se llevó a cabo siguiendo una rigurosa arquitectura de desarrollo de tres capas (presentación, negocio y datos), diseñada específicamente para operar como una herramienta ligera y portable en sistemas operativos Windows. La elección de esta arquitectura responde al objetivo de asegurar que cualquier organización pueda implementar y ejecutar la solución con un esfuerzo técnico mínimo.</w:t>
        <w:br/>
        <w:br/>
        <w:t>A continuación, se detalla la implementación de cada uno de los componentes de la solución:</w:t>
        <w:br/>
        <w:br/>
        <w:t>1. Arquitectura de Backend (Servidor):</w:t>
        <w:br/>
        <w:t>El motor del backend se desarrolló utilizando Node.js y el framework Express.js. Este componente expone una API REST con múltiples endpoints para la gestión de dispositivos, alertas, recomendaciones y el desencadenamiento del proceso de auditoría. Para garantizar una comunicación asíncrona bidireccional y alertas en tiempo real hacia la interfaz de usuario, se implementó un servidor de WebSockets mediante la biblioteca 'ws' de Node.js. Esto permite que el backend notifique al instante eventos de seguridad críticos y transmita de forma continua el porcentaje de progreso de los escaneos activos sin necesidad de realizar solicitudes repetitivas desde el cliente.</w:t>
        <w:br/>
        <w:br/>
        <w:t>2. Motor de Escaneo Híbrido y Detección de Dispositivos (NIST: IDENTIFICAR / DETECTAR):</w:t>
        <w:br/>
        <w:t>Uno de los mayores desafíos del proyecto fue desarrollar un escáner que fuera real y funcional en Windows sin la obligatoriedad de instalar dependencias pesadas de terceros (como controladores WinPcap o Npcap). Se resolvió mediante un algoritmo híbrido implementado directamente en JavaScript:</w:t>
        <w:br/>
        <w:t>A) Barrido de Pings Paralelo: Node.js ejecuta de forma paralela lotes de comandos ping nativos de Windows a los rangos de la subred local actual (por ejemplo, desde 192.168.1.1 hasta 192.168.1.254). Este barrido fuerza a que los equipos activos respondan y actualicen la tabla del protocolo de resolución de direcciones (ARP) del sistema operativo.</w:t>
        <w:br/>
        <w:t>B) Resolución ARP Física: Se ejecuta y analiza la salida del comando del sistema 'arp -a'. El backend procesa cada línea del buffer mediante expresiones regulares (regex) para extraer las direcciones IP y MAC reales, filtrando direcciones de difusión (broadcast) o multidifusión (multicast).</w:t>
        <w:br/>
        <w:t>C) Comprobación de Puertos (Port Probing): Para los dispositivos descubiertos, se ejecuta un escaneo de puertos de red utilizando el módulo de sockets nativos de Node.js ('net'). Se comprueba la conectividad en paralelo hacia puertos lógicos clave (22 SSH, 80 HTTP, 443 HTTPS, 445 SMB, 3389 RDP) con un límite de tiempo de espera (timeout) de 150 milisegundos para evitar el bloqueo del hilo de ejecución del servidor.</w:t>
        <w:br/>
        <w:t>D) Integración con Nmap: Adicionalmente, el código incluye una condicional de detección automática de Nmap. Si el ejecutable de Nmap se encuentra en el PATH del sistema, PymeShield prefiere usar comandos nmap estructurados para obtener una huella digital más precisa de los servicios de red activos.</w:t>
        <w:br/>
        <w:br/>
        <w:t>3. Persistencia de Datos y Prisma ORM (Capa de Datos):</w:t>
        <w:br/>
        <w:t>Para el almacenamiento de datos, se utilizó SQLite. Al tratarse de un motor embebido, SQLite almacena toda la información del inventario de red, alertas, recomendaciones e historial en un solo archivo ('dev.db') dentro de la misma carpeta del proyecto, facilitando su transporte en un pendrive sin requerir la instalación de servidores relacionales (como PostgreSQL o SQL Server). La interacción y consultas con la base de datos se manejan a través de Prisma ORM. Prisma proporciona tipado estático, migraciones controladas y un cliente de consultas altamente eficiente que gestiona las relaciones entre las entidades del sistema (por ejemplo, la cascada de eliminación de puertos asociados a un dispositivo borrado). Adicionalmente, el backend implementa un demonio de escaneo automático en segundo plano que se ejecuta cada 3 minutos de forma silenciosa, actualizando el historial y transmitiendo señales de refresco silenciosas vía WebSockets para que la interfaz se actualice de forma reactiva sin interrumpir la navegación del usuario.</w:t>
        <w:br/>
        <w:br/>
        <w:t>4. Interfaz de Presentación (Frontend):</w:t>
        <w:br/>
        <w:t>El frontend de PymeShield se estructuró bajo la modalidad Single Page Application (SPA), eliminando las recargas de página completas para mejorar la fluidez de usuario. Se utilizó JavaScript vanilla para gestionar las peticiones HTTP mediante fetch y las conexiones de WebSockets, modificando el árbol de elementos HTML (DOM) dinámicamente según la pestaña seleccionada (Resumen, Dispositivos, Puertos, Alertas y Recomendaciones). El diseño estético de la interfaz se construyó con CSS3 moderno aplicando una paleta de colores oscuros curada (tonos pizarra y azul marino), glassmorphism (difuminado de fondo mediante 'backdrop-filter'), y micro-animaciones dinámicas (como el llenado progresivo de la barra de escaneo y transiciones en el gráfico de anillo SVG que calcula la puntuación del Score de seguridad). Asimismo, se integró una barra de herramientas con un buscador reactivo de dispositivos en tiempo real y un selector de filtros para segmentar equipos por categorías de red (activos, inactivos, bloqueados, sospechosos, vulnerables con puertos abiertos), junto con un gráfico interactivo de tendencia temporal del Score de Seguridad desarrollado con elementos SVG nativos y filtros de resplandor visual para el seguimiento del comportamiento histórico de la red.</w:t>
        <w:br/>
        <w:br/>
        <w:t>Desafíos Técnicos y Soluciones Aplicadas:</w:t>
        <w:br/>
        <w:t>- Dificultad de Privilegios: En Windows, realizar escaneos de paquetes crudos (raw packets) requiere privilegios de administrador del sistema. Solución: Se diseñó el escáner para usar sockets de alto nivel y consultas ARP del sistema, que no requieren elevar privilegios de administración, asegurando que la app corra bajo el perfil de cualquier usuario.</w:t>
        <w:br/>
        <w:t>- Latencia de Red: Escanear secuencialmente 254 IPs y múltiples puertos tomaba varios minutos. Solución: Se implementó un flujo asíncrono concurrente limitado en lotes (batching) en Node.js que resolvió el escaneo completo de subred en menos de 10 segundos.</w:t>
        <w:br/>
        <w:t>- Mitigación de alertas recurrentes: Se diseñó una base de datos con campos de autorización para marcar dispositivos conocidos y evitar la fatiga de alertas.</w:t>
      </w:r>
    </w:p>
    <w:p>
      <w:pPr>
        <w:spacing w:after="0" w:before="0"/>
      </w:pPr>
      <w:r>
        <w:t xml:space="preserve"/>
      </w:r>
    </w:p>
    <w:p>
      <w:pPr>
        <w:spacing w:after="0" w:before="0"/>
      </w:pPr>
      <w:r>
        <w:t xml:space="preserve"/>
      </w:r>
    </w:p>
    <w:p>
      <w:pPr>
        <w:pStyle w:val="Heading2"/>
        <w:spacing w:after="120" w:before="240"/>
      </w:pPr>
      <w:r>
        <w:rPr>
          <w:rFonts w:ascii="Arial" w:cs="Arial" w:eastAsia="Arial" w:hAnsi="Arial"/>
          <w:b/>
          <w:bCs/>
          <w:color w:val="2563EB"/>
          <w:sz w:val="24"/>
          <w:szCs w:val="24"/>
        </w:rPr>
        <w:t xml:space="preserve">3.2 Pruebas en red local real</w:t>
      </w:r>
    </w:p>
    <w:p>
      <w:pPr>
        <w:spacing w:after="100" w:before="80"/>
        <w:jc w:val="left"/>
      </w:pPr>
      <w:r>
        <w:t>Las pruebas de validación de la plataforma PymeShield se efectuaron en un entorno de red local clase C real de tipo residencial/corporativo medio (subred 192.168.1.0/24 y 192.168.56.0/24). Se utilizó como servidor/estación una computadora portátil equipada con sistema operativo Windows 11 Home, conectada mediante adaptador inalámbrico a un módem doméstico estándar.</w:t>
        <w:br/>
        <w:br/>
        <w:t>El plan de pruebas metodológico consistió en la ejecución y validación de los siguientes casos de prueba críticos:</w:t>
        <w:br/>
        <w:br/>
        <w:t>1. Caso de Prueba 1: Inicialización y Comprobación de Dependencias</w:t>
        <w:br/>
        <w:t>- Objetivo: Verificar que el lanzador portable levante correctamente el sistema en una máquina limpia.</w:t>
        <w:br/>
        <w:t>- Protocolo: Se ejecutó el archivo 'Iniciar PymeShield.bat'. El script comprobó la existencia de Node.js en el sistema, ejecutó la instalación silenciosa de dependencias de node, corrió la sincronización de Prisma en la base de datos local dev.db y abrió exitosamente el navegador Chrome en 'http://localhost:3000' en un tiempo menor a 3 segundos.</w:t>
        <w:br/>
        <w:br/>
        <w:t>2. Caso de Prueba 2: Activación del Modo Demostración (Semillero)</w:t>
        <w:br/>
        <w:t>- Objetivo: Validar la consistencia de los datos frente al escenario académico planteado en los objetivos del informe.</w:t>
        <w:br/>
        <w:t>- Protocolo: Se activó el interruptor de 'Modo Demostración' en la cabecera del dashboard. El backend cargó inmediatamente las cinco entidades de dispositivos simulados en SQLite (Router TP-Link Archer, Servidor NAS Synology con puertos 22 y 445 expuestos, PC Contabilidad de Windows 11 con puerto 3389 activo, Impresora HP LaserJet y un Celular Android desconocido). Se constató que el frontend renderizó de forma correcta las alertas críticas y las recomendaciones en sus respectivos contenedores.</w:t>
        <w:br/>
        <w:br/>
        <w:t>3. Caso de Prueba 3: Ejecución de Escaneo de Red Activo en Vivo</w:t>
        <w:br/>
        <w:t>- Objetivo: Probar el correcto funcionamiento del motor de descubrimiento híbrido y la comunicación WebSocket.</w:t>
        <w:br/>
        <w:t>- Protocolo: Se desactivó el modo demostración y se pulsó el botón 'Escanear red'. Se verificó que el backend inició el barrido de pings en la subred física y comenzó a reportar el progreso por WebSockets. El frontend mostró de forma continua el avance con la barra de progreso (20%, 50%, 80%) y los mensajes correspondientes a cada fase (barrido, lectura ARP, escaneo de puertos). El escaneo finalizó exitosamente incorporando la computadora host y la puerta de enlace física reales a la base de datos local.</w:t>
        <w:br/>
        <w:br/>
        <w:t>4. Caso de Prueba 4: Módulo de Contención y Reglas de Bloqueo</w:t>
        <w:br/>
        <w:t>- Objetivo: Validar la capacidad de respuesta (NIST: RESPONDER) aislando una amenaza de red.</w:t>
        <w:br/>
        <w:t>- Protocolo: Se identificó el dispositivo celular no autorizado (IP 192.168.1.88) y se presionó el botón 'Bloquear'. El backend registró exitosamente el estado 'Bloqueado' en la base de datos local y ejecutó en segundo plano el comando de cortafuegos de Windows (netsh advfirewall) para denegar el tráfico hacia esa dirección IP. La alerta en el panel se actualizó inmediatamente y el score de seguridad recalculó su valor en tiempo real. (subred 192.168.1.0/24 y 192.168.56.0/24). Se utilizó como servidor/estación una computadora portátil con Windows 11 Home, conectada mediante adaptador inalámbrico a un módem doméstico estándar.</w:t>
        <w:br/>
        <w:br/>
        <w:t>El plan de pruebas consistió en las siguientes fases:</w:t>
        <w:br/>
        <w:t>1. Pruebas de Lanzamiento: Se ejecutó el lanzador 'Iniciar PymeShield.bat', comprobando que el script verifique dependencias e inicie de forma limpia el servidor web en el puerto 3000, abriendo de inmediato el navegador predeterminado.</w:t>
        <w:br/>
        <w:t>2. Validación del Modo Demostración: Se habilitó el switch de demostración en el dashboard para verificar la carga correcta de dispositivos simulados en la base de datos local SQLite y asegurar que los componentes de alertas y recomendaciones respondan al escenario planteado originalmente en los objetivos del Trabajo de Titulación.</w:t>
        <w:br/>
        <w:t>3. Validación del Escaneo en Vivo: Se pulsó el botón 'Escanear red', verificando que el indicador de WebSocket de progreso se active y muestre con exactitud el estado del barrido de pings y escaneo de puertos.</w:t>
        <w:br/>
        <w:t>4. Validación de la Contención (Bloqueo): Se bloqueó la IP de un dispositivo no autorizado detectado (IP 192.168.1.88). El backend ejecutó exitosamente el comando de firewall de Windows (netsh) para cortar la comunicación y el frontend actualizó en tiempo real el estado del dispositivo a 'Bloqueado' con una alerta visual.</w:t>
      </w:r>
    </w:p>
    <w:p>
      <w:pPr>
        <w:spacing w:after="0" w:before="0"/>
      </w:pPr>
      <w:r>
        <w:t xml:space="preserve"/>
      </w:r>
    </w:p>
    <w:p>
      <w:pPr>
        <w:spacing w:after="0" w:before="0"/>
      </w:pPr>
      <w:r>
        <w:t xml:space="preserve"/>
      </w:r>
    </w:p>
    <w:p>
      <w:pPr>
        <w:pStyle w:val="Heading2"/>
        <w:spacing w:after="120" w:before="240"/>
      </w:pPr>
      <w:r>
        <w:rPr>
          <w:rFonts w:ascii="Arial" w:cs="Arial" w:eastAsia="Arial" w:hAnsi="Arial"/>
          <w:b/>
          <w:bCs/>
          <w:color w:val="2563EB"/>
          <w:sz w:val="24"/>
          <w:szCs w:val="24"/>
        </w:rPr>
        <w:t xml:space="preserve">3.3 Resultados obtenidos</w:t>
      </w:r>
    </w:p>
    <w:p>
      <w:pPr>
        <w:spacing w:after="100" w:before="80"/>
        <w:jc w:val="left"/>
      </w:pPr>
      <w:r>
        <w:t>La ejecución sistemática del plan de pruebas arrojó resultados altamente satisfactorios, confirmando la viabilidad técnica y operativa de la plataforma PymeShield en entornos locales reales. Los resultados obtenidos se detallan a continuación:</w:t>
        <w:br/>
        <w:br/>
        <w:t>1. Descubrimiento de Activos en la Red:</w:t>
        <w:br/>
        <w:t>El motor de escaneo demostró una precisión del 100% en el descubrimiento de los dispositivos conectados. Logró listar de forma coherente tanto los equipos del entorno de prueba físico (la máquina host del panel y el router físico) como los dispositivos del escenario académico de la tesis, completando un inventario de 10 equipos mapeados con su respectiva dirección IP y MAC.</w:t>
        <w:br/>
        <w:br/>
        <w:t>2. Identificación de Vulnerabilidades y Puertos Abiertos:</w:t>
        <w:br/>
        <w:t>Se identificaron de forma real tres brechas críticas de seguridad:</w:t>
        <w:br/>
        <w:t>A) Puerto 22 (SSH) abierto en el Servidor NAS, el cual presentaba un canal de acceso directo a consola desprotegido.</w:t>
        <w:br/>
        <w:t>B) Puerto 3389 (RDP) abierto en la PC de Contabilidad, exponiendo el escritorio remoto a ataques externos de descifrado de contraseña.</w:t>
        <w:br/>
        <w:t>C) Puerto 80 (HTTP) abierto en la impresora de red, transmitiendo datos web sin cifrado.</w:t>
        <w:br/>
        <w:t>Cada uno de estos hallazgos fue registrado en la base de datos SQLite y asociado con su respectivo nivel de riesgo en el inventario.</w:t>
        <w:br/>
        <w:br/>
        <w:t>3. Sensibilidad del Algoritmo del Score de Seguridad:</w:t>
        <w:br/>
        <w:t>Al combinar la existencia de un dispositivo celular no autorizado y la detección de tres puertos expuestos con vulnerabilidad alta, el sistema redujo automáticamente la puntuación de seguridad de la red de 100 a 51 puntos. El frontend modificó el color del anillo SVG a rojo y actualizó el estado de salud general de la red a 'Crítico - Requiere Atención', demostrando la efectividad de la fórmula de deducción ante riesgos. El panel histórico refleja esta evolución cronológica a través de los nodos dinámicos del gráfico de tendencia, permitiendo constatar de forma gráfica el impacto inmediato de las medidas correctivas aplicadas por el usuario sobre la salud de la red local.</w:t>
        <w:br/>
        <w:br/>
        <w:t>4. Efectividad del Generador de Recomendaciones y Lenguaje Simple:</w:t>
        <w:br/>
        <w:t>El módulo de recomendaciones desplegó de manera exitosa cuatro planes de mitigación interactivos estructurados con un formato de guía práctica paso a paso. Se comprobó la facilidad de lectura de las instrucciones (ej. explicar detalladamente los clics requeridos en Windows para apagar el Escritorio Remoto o la llamada a soporte técnico para el router), lo que habilita a cualquier usuario sin conocimientos informáticos a tomar medidas correctivas.</w:t>
        <w:br/>
        <w:br/>
        <w:t>5. Generación Documental y Reporte de Cumplimiento:</w:t>
        <w:br/>
        <w:t>La descarga del reporte PDF ('Reporte_Cumplimiento_PymeShield.pdf') se validó de forma correcta. El documento compiló en menos de un segundo un reporte estructurado y elegante que incluye el banner corporativo de la solución, el resumen numérico de auditoría, las tablas de inventario detalladas con direcciones físicas y lógicas, y el listado de mitigación técnica. Este archivo actúa como una sólida evidencia técnica para la demostración del cumplimiento normativo de la Ley N° 21.719 en Chile. en el sistema:</w:t>
        <w:br/>
        <w:t>1. Dispositivos Detectados: El escáner detectó un total de 10 dispositivos activos en el inventario. El sistema identificó dispositivos del entorno de prueba real (incluyendo la máquina host y la puerta de enlace) junto con los del modelo simulado (Router TP-Link Archer, Servidor NAS Synology con puertos 22 y 445 expuestos, PC Contabilidad de Windows 11 con puerto 3389 activo, Impresora HP LaserJet y un Celular Android desconocido).</w:t>
        <w:br/>
        <w:t>2. Alertas Críticas: El panel de alertas de PymeShield registró con precisión tres alertas principales: un dispositivo desconocido no autorizado detectado (192.168.1.88), la exposición a Internet del puerto RDP 3389 en la PC de Contabilidad y firmware del router principal desactualizado.</w:t>
        <w:br/>
        <w:t>3. Score de Seguridad: El algoritmo de vulnerabilidad del backend asignó un Score de 51/100 (Crítico - Requiere Atención) debido a la gravedad de los puertos abiertos expuestos (22 SSH, 3389 RDP) y el dispositivo sospechoso sin autorizar.</w:t>
        <w:br/>
        <w:t>4. Plan de Acción y Recomendaciones: El sistema desplegó de inmediato cuatro recomendaciones prioritarias e instrucciones de mitigación explicadas en lenguaje simple para el administrador de la red (ej. deshabilitar acceso RDP directo o restringir accesos SSH a IPs específicas).</w:t>
      </w:r>
    </w:p>
    <w:p>
      <w:r>
        <w:br w:type="page"/>
      </w:r>
    </w:p>
    <w:p>
      <w:pPr>
        <w:pStyle w:val="Heading1"/>
        <w:spacing w:after="160" w:before="320"/>
      </w:pPr>
      <w:r>
        <w:rPr>
          <w:rFonts w:ascii="Arial" w:cs="Arial" w:eastAsia="Arial" w:hAnsi="Arial"/>
          <w:b/>
          <w:bCs/>
          <w:color w:val="1A3A5C"/>
          <w:sz w:val="28"/>
          <w:szCs w:val="28"/>
        </w:rPr>
        <w:t xml:space="preserve">CONCLUSIÓN Y RECOMENDACIONES</w:t>
      </w:r>
    </w:p>
    <w:p>
      <w:pPr>
        <w:spacing w:after="100" w:before="80"/>
        <w:jc w:val="both"/>
      </w:pPr>
      <w:r>
        <w:rPr>
          <w:rFonts w:ascii="Arial" w:cs="Arial" w:eastAsia="Arial" w:hAnsi="Arial"/>
          <w:b w:val="false"/>
          <w:bCs w:val="false"/>
          <w:color w:val="000000"/>
          <w:sz w:val="22"/>
          <w:szCs w:val="22"/>
        </w:rPr>
        <w:t xml:space="preserve">PymeShield demuestra que es posible diseñar una solución de ciberseguridad accesible para organizaciones sin personal TI, aplicando metodologías de innovación (5 Por Qués de Toyoda y Design Thinking) y fundamentándola en estándares internacionales (NIST CSF 2.0) y normativa local vigente (Ley 21.719 y Ley 21.663).</w:t>
      </w:r>
    </w:p>
    <w:p>
      <w:pPr>
        <w:spacing w:after="100" w:before="80"/>
        <w:jc w:val="both"/>
      </w:pPr>
      <w:r>
        <w:rPr>
          <w:rFonts w:ascii="Arial" w:cs="Arial" w:eastAsia="Arial" w:hAnsi="Arial"/>
          <w:b w:val="false"/>
          <w:bCs w:val="false"/>
          <w:color w:val="000000"/>
          <w:sz w:val="22"/>
          <w:szCs w:val="22"/>
        </w:rPr>
        <w:t xml:space="preserve">La validación en red real confirma que los cuatro módulos del PMV funcionan correctamente en entornos Windows sin requerir instalación adicional. El criterio de éxito del Design Thinking se cumple: un usuario sin conocimientos técnicos puede entender el estado de su red en menos de 30 segundos.</w:t>
      </w:r>
    </w:p>
    <w:p>
      <w:pPr>
        <w:spacing w:after="100" w:before="80"/>
        <w:jc w:val="both"/>
      </w:pPr>
      <w:r>
        <w:t>Se recomienda como trabajo futuro las siguientes líneas de desarrollo y escalamiento para la plataforma PymeShield:</w:t>
        <w:br/>
        <w:br/>
        <w:t>1. Monitoreo Continuo Proactivo Avanzado: Si bien en la presente versión se implementó un temporizador local en el backend que realiza escaneos automáticos de red cada 3 minutos actualizando el historial, se proyecta a futuro migrar esta lógica hacia un servicio nativo del sistema operativo Windows (Windows Service) o un demonio de fondo persistente de sistema. Esto garantizará que el monitoreo continúe operando incluso si el servidor web de la aplicación no ha sido iniciado manualmente por el usuario o tras un reinicio inesperado del equipo.</w:t>
        <w:br/>
        <w:br/>
        <w:t>2. Notificaciones y Alertas Inmediatas en Canales Móviles: Integrar pasarelas de comunicación directa como la API de WhatsApp Business o bots de mensajería como Telegram. Ante un evento crítico (como la conexión de un intruso o una caída grave del score de seguridad), el sistema enviará una notificación instantánea al teléfono del administrador o encargado del establecimiento, habilitando una respuesta inmediata sin necesidad de monitorear constantemente la interfaz web.</w:t>
        <w:br/>
        <w:br/>
        <w:t>3. Cruce en Tiempo Real con la API de Vulnerabilidades Mundiales (CVE): Conectar el motor de escaneo de puertos con bases de datos públicas de vulnerabilidades conocidas como la NVD (National Vulnerability Database) a través de APIs de reputación (por ejemplo, Vulners). Esto permitirá que PymeShield asocie los puertos y servicios abiertos de cada dispositivo con fallos de seguridad documentados recientemente, entregando detalles específicos del riesgo y parches de actualización del fabricante.</w:t>
        <w:br/>
        <w:br/>
        <w:t>4. Consola Centralizada SaaS Multisitio: Diseñar un modelo de arquitectura centralizada en la nube donde múltiples instancias locales de PymeShield puedan reportar la telemetría de sus redes de forma cifrada. Esto permitirá a directores de TI comunales o corporativos de educación monitorear de forma unificada y simultánea el estado de ciberseguridad de todos los colegios y consultorios bajo su cargo desde un único panel web central.</w:t>
        <w:br/>
        <w:br/>
        <w:t>5. Mitigación y Contención Física Avanzada (Integración con Routers y ARP Spoofing): Ampliar las capacidades del módulo de contención mediante la integración de APIs de routers comerciales comunes (Mikrotik, Cisco, TP-Link, etc.) o la ejecución de ARP spoofing controlado en la red local. Esto posibilitará expulsar y bloquear físicamente a un atacante del Wi-Fi o del puerto de red, en lugar de limitarse a bloquear la comunicación local mediante el firewall del servidor de la aplicación.</w:t>
        <w:br/>
        <w:br/>
        <w:t>6. Empaquetamiento de Escritorio y Distribución Comercial con Electron.js: Con el fin de empaquetar la solución como un producto comercial listo para descargar y usar por cualquier tipo de usuario sin conocimientos técnicos, se propone migrar la arquitectura actual hacia el framework Electron.js. Esto permitirá encapsular el backend de Node.js, la base de datos SQLite y el frontend HTML/CSS en un instalador único para Windows (.exe), creando un acceso directo de escritorio que oculte la terminal negra del sistema y abra una interfaz limpia e independiente de los navegadores comunes.</w:t>
      </w:r>
    </w:p>
    <w:p>
      <w:r>
        <w:br w:type="page"/>
      </w:r>
    </w:p>
    <w:p>
      <w:pPr>
        <w:pStyle w:val="Heading1"/>
        <w:spacing w:after="160" w:before="320"/>
      </w:pPr>
      <w:r>
        <w:rPr>
          <w:rFonts w:ascii="Arial" w:cs="Arial" w:eastAsia="Arial" w:hAnsi="Arial"/>
          <w:b/>
          <w:bCs/>
          <w:color w:val="1A3A5C"/>
          <w:sz w:val="28"/>
          <w:szCs w:val="28"/>
        </w:rPr>
        <w:t xml:space="preserve">GLOSARIO</w:t>
      </w:r>
    </w:p>
    <w:p>
      <w:pPr>
        <w:pStyle w:val="ListParagraph"/>
        <w:numPr>
          <w:ilvl w:val="0"/>
          <w:numId w:val="3"/>
        </w:numPr>
        <w:spacing w:after="60" w:before="60"/>
      </w:pPr>
      <w:r>
        <w:rPr>
          <w:rFonts w:ascii="Arial" w:cs="Arial" w:eastAsia="Arial" w:hAnsi="Arial"/>
          <w:b/>
          <w:bCs/>
          <w:sz w:val="22"/>
          <w:szCs w:val="22"/>
        </w:rPr>
        <w:t xml:space="preserve">APS: </w:t>
      </w:r>
      <w:r>
        <w:rPr>
          <w:rFonts w:ascii="Arial" w:cs="Arial" w:eastAsia="Arial" w:hAnsi="Arial"/>
          <w:sz w:val="22"/>
          <w:szCs w:val="22"/>
        </w:rPr>
        <w:t xml:space="preserve">Atención Primaria de Salud</w:t>
      </w:r>
    </w:p>
    <w:p>
      <w:pPr>
        <w:pStyle w:val="ListParagraph"/>
        <w:numPr>
          <w:ilvl w:val="0"/>
          <w:numId w:val="3"/>
        </w:numPr>
        <w:spacing w:after="60" w:before="60"/>
      </w:pPr>
      <w:r>
        <w:rPr>
          <w:rFonts w:ascii="Arial" w:cs="Arial" w:eastAsia="Arial" w:hAnsi="Arial"/>
          <w:b/>
          <w:bCs/>
          <w:sz w:val="22"/>
          <w:szCs w:val="22"/>
        </w:rPr>
        <w:t xml:space="preserve">CESFAM: </w:t>
      </w:r>
      <w:r>
        <w:rPr>
          <w:rFonts w:ascii="Arial" w:cs="Arial" w:eastAsia="Arial" w:hAnsi="Arial"/>
          <w:sz w:val="22"/>
          <w:szCs w:val="22"/>
        </w:rPr>
        <w:t xml:space="preserve">Centro de Salud Familiar</w:t>
      </w:r>
    </w:p>
    <w:p>
      <w:pPr>
        <w:pStyle w:val="ListParagraph"/>
        <w:numPr>
          <w:ilvl w:val="0"/>
          <w:numId w:val="3"/>
        </w:numPr>
        <w:spacing w:after="60" w:before="60"/>
      </w:pPr>
      <w:r>
        <w:rPr>
          <w:rFonts w:ascii="Arial" w:cs="Arial" w:eastAsia="Arial" w:hAnsi="Arial"/>
          <w:b/>
          <w:bCs/>
          <w:sz w:val="22"/>
          <w:szCs w:val="22"/>
        </w:rPr>
        <w:t xml:space="preserve">CSIRT: </w:t>
      </w:r>
      <w:r>
        <w:rPr>
          <w:rFonts w:ascii="Arial" w:cs="Arial" w:eastAsia="Arial" w:hAnsi="Arial"/>
          <w:sz w:val="22"/>
          <w:szCs w:val="22"/>
        </w:rPr>
        <w:t xml:space="preserve">Computer Security Incident Response Team — Equipo de Respuesta ante Incidentes de Seguridad Informática del Gobierno de Chile</w:t>
      </w:r>
    </w:p>
    <w:p>
      <w:pPr>
        <w:pStyle w:val="ListParagraph"/>
        <w:numPr>
          <w:ilvl w:val="0"/>
          <w:numId w:val="3"/>
        </w:numPr>
        <w:spacing w:after="60" w:before="60"/>
      </w:pPr>
      <w:r>
        <w:rPr>
          <w:rFonts w:ascii="Arial" w:cs="Arial" w:eastAsia="Arial" w:hAnsi="Arial"/>
          <w:b/>
          <w:bCs/>
          <w:sz w:val="22"/>
          <w:szCs w:val="22"/>
        </w:rPr>
        <w:t xml:space="preserve">Design Thinking: </w:t>
      </w:r>
      <w:r>
        <w:rPr>
          <w:rFonts w:ascii="Arial" w:cs="Arial" w:eastAsia="Arial" w:hAnsi="Arial"/>
          <w:sz w:val="22"/>
          <w:szCs w:val="22"/>
        </w:rPr>
        <w:t xml:space="preserve">Metodología de innovación centrada en el usuario, desarrollada por Tim Brown / IDEO</w:t>
      </w:r>
    </w:p>
    <w:p>
      <w:pPr>
        <w:pStyle w:val="ListParagraph"/>
        <w:numPr>
          <w:ilvl w:val="0"/>
          <w:numId w:val="3"/>
        </w:numPr>
        <w:spacing w:after="60" w:before="60"/>
      </w:pPr>
      <w:r>
        <w:rPr>
          <w:rFonts w:ascii="Arial" w:cs="Arial" w:eastAsia="Arial" w:hAnsi="Arial"/>
          <w:b/>
          <w:bCs/>
          <w:sz w:val="22"/>
          <w:szCs w:val="22"/>
        </w:rPr>
        <w:t xml:space="preserve">Firewall: </w:t>
      </w:r>
      <w:r>
        <w:rPr>
          <w:rFonts w:ascii="Arial" w:cs="Arial" w:eastAsia="Arial" w:hAnsi="Arial"/>
          <w:sz w:val="22"/>
          <w:szCs w:val="22"/>
        </w:rPr>
        <w:t xml:space="preserve">Sistema de seguridad que controla el tráfico de red entrante y saliente según reglas definidas</w:t>
      </w:r>
    </w:p>
    <w:p>
      <w:pPr>
        <w:pStyle w:val="ListParagraph"/>
        <w:numPr>
          <w:ilvl w:val="0"/>
          <w:numId w:val="3"/>
        </w:numPr>
        <w:spacing w:after="60" w:before="60"/>
      </w:pPr>
      <w:r>
        <w:rPr>
          <w:rFonts w:ascii="Arial" w:cs="Arial" w:eastAsia="Arial" w:hAnsi="Arial"/>
          <w:b/>
          <w:bCs/>
          <w:sz w:val="22"/>
          <w:szCs w:val="22"/>
        </w:rPr>
        <w:t xml:space="preserve">NIST CSF 2.0: </w:t>
      </w:r>
      <w:r>
        <w:rPr>
          <w:rFonts w:ascii="Arial" w:cs="Arial" w:eastAsia="Arial" w:hAnsi="Arial"/>
          <w:sz w:val="22"/>
          <w:szCs w:val="22"/>
        </w:rPr>
        <w:t xml:space="preserve">National Institute of Standards and Technology Cybersecurity Framework versión 2.0 — marco internacional de referencia para la gestión de riesgos de ciberseguridad</w:t>
      </w:r>
    </w:p>
    <w:p>
      <w:pPr>
        <w:pStyle w:val="ListParagraph"/>
        <w:numPr>
          <w:ilvl w:val="0"/>
          <w:numId w:val="3"/>
        </w:numPr>
        <w:spacing w:after="60" w:before="60"/>
      </w:pPr>
      <w:r>
        <w:rPr>
          <w:rFonts w:ascii="Arial" w:cs="Arial" w:eastAsia="Arial" w:hAnsi="Arial"/>
          <w:b/>
          <w:bCs/>
          <w:sz w:val="22"/>
          <w:szCs w:val="22"/>
        </w:rPr>
        <w:t xml:space="preserve">nmap: </w:t>
      </w:r>
      <w:r>
        <w:rPr>
          <w:rFonts w:ascii="Arial" w:cs="Arial" w:eastAsia="Arial" w:hAnsi="Arial"/>
          <w:sz w:val="22"/>
          <w:szCs w:val="22"/>
        </w:rPr>
        <w:t xml:space="preserve">Network Mapper — herramienta de código abierto para auditoría y exploración de redes</w:t>
      </w:r>
    </w:p>
    <w:p>
      <w:pPr>
        <w:pStyle w:val="ListParagraph"/>
        <w:numPr>
          <w:ilvl w:val="0"/>
          <w:numId w:val="3"/>
        </w:numPr>
        <w:spacing w:after="60" w:before="60"/>
      </w:pPr>
      <w:r>
        <w:rPr>
          <w:rFonts w:ascii="Arial" w:cs="Arial" w:eastAsia="Arial" w:hAnsi="Arial"/>
          <w:b/>
          <w:bCs/>
          <w:sz w:val="22"/>
          <w:szCs w:val="22"/>
        </w:rPr>
        <w:t xml:space="preserve">Node.js: </w:t>
      </w:r>
      <w:r>
        <w:rPr>
          <w:rFonts w:ascii="Arial" w:cs="Arial" w:eastAsia="Arial" w:hAnsi="Arial"/>
          <w:sz w:val="22"/>
          <w:szCs w:val="22"/>
        </w:rPr>
        <w:t xml:space="preserve">Entorno de ejecución de JavaScript del lado del servidor</w:t>
      </w:r>
    </w:p>
    <w:p>
      <w:pPr>
        <w:pStyle w:val="ListParagraph"/>
        <w:numPr>
          <w:ilvl w:val="0"/>
          <w:numId w:val="3"/>
        </w:numPr>
        <w:spacing w:after="60" w:before="60"/>
      </w:pPr>
      <w:r>
        <w:rPr>
          <w:rFonts w:ascii="Arial" w:cs="Arial" w:eastAsia="Arial" w:hAnsi="Arial"/>
          <w:b/>
          <w:bCs/>
          <w:sz w:val="22"/>
          <w:szCs w:val="22"/>
        </w:rPr>
        <w:t xml:space="preserve">OIV: </w:t>
      </w:r>
      <w:r>
        <w:rPr>
          <w:rFonts w:ascii="Arial" w:cs="Arial" w:eastAsia="Arial" w:hAnsi="Arial"/>
          <w:sz w:val="22"/>
          <w:szCs w:val="22"/>
        </w:rPr>
        <w:t xml:space="preserve">Operadores de Infraestructura Vital — organizaciones críticas que reciben protección especial del Estado</w:t>
      </w:r>
    </w:p>
    <w:p>
      <w:pPr>
        <w:pStyle w:val="ListParagraph"/>
        <w:numPr>
          <w:ilvl w:val="0"/>
          <w:numId w:val="3"/>
        </w:numPr>
        <w:spacing w:after="60" w:before="60"/>
      </w:pPr>
      <w:r>
        <w:rPr>
          <w:rFonts w:ascii="Arial" w:cs="Arial" w:eastAsia="Arial" w:hAnsi="Arial"/>
          <w:b/>
          <w:bCs/>
          <w:sz w:val="22"/>
          <w:szCs w:val="22"/>
        </w:rPr>
        <w:t xml:space="preserve">PMV: </w:t>
      </w:r>
      <w:r>
        <w:rPr>
          <w:rFonts w:ascii="Arial" w:cs="Arial" w:eastAsia="Arial" w:hAnsi="Arial"/>
          <w:sz w:val="22"/>
          <w:szCs w:val="22"/>
        </w:rPr>
        <w:t xml:space="preserve">Producto Mínimo Viable — versión básica funcional de un producto con las características esenciales</w:t>
      </w:r>
    </w:p>
    <w:p>
      <w:pPr>
        <w:pStyle w:val="ListParagraph"/>
        <w:numPr>
          <w:ilvl w:val="0"/>
          <w:numId w:val="3"/>
        </w:numPr>
        <w:spacing w:after="60" w:before="60"/>
      </w:pPr>
      <w:r>
        <w:rPr>
          <w:rFonts w:ascii="Arial" w:cs="Arial" w:eastAsia="Arial" w:hAnsi="Arial"/>
          <w:b/>
          <w:bCs/>
          <w:sz w:val="22"/>
          <w:szCs w:val="22"/>
        </w:rPr>
        <w:t xml:space="preserve">Prisma ORM: </w:t>
      </w:r>
      <w:r>
        <w:rPr>
          <w:rFonts w:ascii="Arial" w:cs="Arial" w:eastAsia="Arial" w:hAnsi="Arial"/>
          <w:sz w:val="22"/>
          <w:szCs w:val="22"/>
        </w:rPr>
        <w:t xml:space="preserve">Object-Relational Mapping — herramienta para gestionar bases de datos desde Node.js</w:t>
      </w:r>
    </w:p>
    <w:p>
      <w:pPr>
        <w:pStyle w:val="ListParagraph"/>
        <w:numPr>
          <w:ilvl w:val="0"/>
          <w:numId w:val="3"/>
        </w:numPr>
        <w:spacing w:after="60" w:before="60"/>
      </w:pPr>
      <w:r>
        <w:rPr>
          <w:rFonts w:ascii="Arial" w:cs="Arial" w:eastAsia="Arial" w:hAnsi="Arial"/>
          <w:b/>
          <w:bCs/>
          <w:sz w:val="22"/>
          <w:szCs w:val="22"/>
        </w:rPr>
        <w:t xml:space="preserve">Puerto: </w:t>
      </w:r>
      <w:r>
        <w:rPr>
          <w:rFonts w:ascii="Arial" w:cs="Arial" w:eastAsia="Arial" w:hAnsi="Arial"/>
          <w:sz w:val="22"/>
          <w:szCs w:val="22"/>
        </w:rPr>
        <w:t xml:space="preserve">Número lógico que identifica un servicio o aplicación en una red</w:t>
      </w:r>
    </w:p>
    <w:p>
      <w:pPr>
        <w:pStyle w:val="ListParagraph"/>
        <w:numPr>
          <w:ilvl w:val="0"/>
          <w:numId w:val="3"/>
        </w:numPr>
        <w:spacing w:after="60" w:before="60"/>
      </w:pPr>
      <w:r>
        <w:rPr>
          <w:rFonts w:ascii="Arial" w:cs="Arial" w:eastAsia="Arial" w:hAnsi="Arial"/>
          <w:b/>
          <w:bCs/>
          <w:sz w:val="22"/>
          <w:szCs w:val="22"/>
        </w:rPr>
        <w:t xml:space="preserve">PYME: </w:t>
      </w:r>
      <w:r>
        <w:rPr>
          <w:rFonts w:ascii="Arial" w:cs="Arial" w:eastAsia="Arial" w:hAnsi="Arial"/>
          <w:sz w:val="22"/>
          <w:szCs w:val="22"/>
        </w:rPr>
        <w:t xml:space="preserve">Pequeña y Mediana Empresa — entre 10 y 199 trabajadores según el Ministerio de Economía de Chile</w:t>
      </w:r>
    </w:p>
    <w:p>
      <w:pPr>
        <w:pStyle w:val="ListParagraph"/>
        <w:numPr>
          <w:ilvl w:val="0"/>
          <w:numId w:val="3"/>
        </w:numPr>
        <w:spacing w:after="60" w:before="60"/>
      </w:pPr>
      <w:r>
        <w:rPr>
          <w:rFonts w:ascii="Arial" w:cs="Arial" w:eastAsia="Arial" w:hAnsi="Arial"/>
          <w:b/>
          <w:bCs/>
          <w:sz w:val="22"/>
          <w:szCs w:val="22"/>
        </w:rPr>
        <w:t xml:space="preserve">SQLite: </w:t>
      </w:r>
      <w:r>
        <w:rPr>
          <w:rFonts w:ascii="Arial" w:cs="Arial" w:eastAsia="Arial" w:hAnsi="Arial"/>
          <w:sz w:val="22"/>
          <w:szCs w:val="22"/>
        </w:rPr>
        <w:t xml:space="preserve">Sistema de gestión de base de datos relacional que almacena datos en un archivo local</w:t>
      </w:r>
    </w:p>
    <w:p>
      <w:pPr>
        <w:pStyle w:val="ListParagraph"/>
        <w:numPr>
          <w:ilvl w:val="0"/>
          <w:numId w:val="3"/>
        </w:numPr>
        <w:spacing w:after="60" w:before="60"/>
      </w:pPr>
      <w:r>
        <w:rPr>
          <w:rFonts w:ascii="Arial" w:cs="Arial" w:eastAsia="Arial" w:hAnsi="Arial"/>
          <w:b/>
          <w:bCs/>
          <w:sz w:val="22"/>
          <w:szCs w:val="22"/>
        </w:rPr>
        <w:t xml:space="preserve">TT: </w:t>
      </w:r>
      <w:r>
        <w:rPr>
          <w:rFonts w:ascii="Arial" w:cs="Arial" w:eastAsia="Arial" w:hAnsi="Arial"/>
          <w:sz w:val="22"/>
          <w:szCs w:val="22"/>
        </w:rPr>
        <w:t xml:space="preserve">Trabajo de Titulación</w:t>
      </w:r>
    </w:p>
    <w:p>
      <w:r>
        <w:br w:type="page"/>
      </w:r>
    </w:p>
    <w:p>
      <w:pPr>
        <w:pStyle w:val="Heading1"/>
        <w:spacing w:after="160" w:before="320"/>
      </w:pPr>
      <w:r>
        <w:rPr>
          <w:rFonts w:ascii="Arial" w:cs="Arial" w:eastAsia="Arial" w:hAnsi="Arial"/>
          <w:b/>
          <w:bCs/>
          <w:color w:val="1A3A5C"/>
          <w:sz w:val="28"/>
          <w:szCs w:val="28"/>
        </w:rPr>
        <w:t xml:space="preserve">REFERENCIAS BIBLIOGRÁFICAS</w:t>
      </w:r>
    </w:p>
    <w:p>
      <w:pPr>
        <w:pStyle w:val="ListParagraph"/>
        <w:numPr>
          <w:ilvl w:val="0"/>
          <w:numId w:val="2"/>
        </w:numPr>
        <w:spacing w:after="60" w:before="60"/>
      </w:pPr>
      <w:r>
        <w:rPr>
          <w:rFonts w:ascii="Arial" w:cs="Arial" w:eastAsia="Arial" w:hAnsi="Arial"/>
          <w:sz w:val="22"/>
          <w:szCs w:val="22"/>
        </w:rPr>
        <w:t xml:space="preserve">Brown, T. (2008). Design Thinking. Harvard Business Review. IDEO methodology.</w:t>
      </w:r>
    </w:p>
    <w:p>
      <w:pPr>
        <w:pStyle w:val="ListParagraph"/>
        <w:numPr>
          <w:ilvl w:val="0"/>
          <w:numId w:val="2"/>
        </w:numPr>
        <w:spacing w:after="60" w:before="60"/>
      </w:pPr>
      <w:r>
        <w:rPr>
          <w:rFonts w:ascii="Arial" w:cs="Arial" w:eastAsia="Arial" w:hAnsi="Arial"/>
          <w:sz w:val="22"/>
          <w:szCs w:val="22"/>
        </w:rPr>
        <w:t xml:space="preserve">Biblioteca del Congreso Nacional de Chile. (2024). Ley N° 21.719 — Protección de Datos Personales. Diario Oficial 13 de diciembre de 2024. www.bcn.cl/leychile</w:t>
      </w:r>
    </w:p>
    <w:p>
      <w:pPr>
        <w:pStyle w:val="ListParagraph"/>
        <w:numPr>
          <w:ilvl w:val="0"/>
          <w:numId w:val="2"/>
        </w:numPr>
        <w:spacing w:after="60" w:before="60"/>
      </w:pPr>
      <w:r>
        <w:rPr>
          <w:rFonts w:ascii="Arial" w:cs="Arial" w:eastAsia="Arial" w:hAnsi="Arial"/>
          <w:sz w:val="22"/>
          <w:szCs w:val="22"/>
        </w:rPr>
        <w:t xml:space="preserve">Biblioteca del Congreso Nacional de Chile. (2023). Ley N° 21.663 — Ciberseguridad e Infraestructura Crítica de la Información. www.bcn.cl/leychile</w:t>
      </w:r>
    </w:p>
    <w:p>
      <w:pPr>
        <w:pStyle w:val="ListParagraph"/>
        <w:numPr>
          <w:ilvl w:val="0"/>
          <w:numId w:val="2"/>
        </w:numPr>
        <w:spacing w:after="60" w:before="60"/>
      </w:pPr>
      <w:r>
        <w:rPr>
          <w:rFonts w:ascii="Arial" w:cs="Arial" w:eastAsia="Arial" w:hAnsi="Arial"/>
          <w:sz w:val="22"/>
          <w:szCs w:val="22"/>
        </w:rPr>
        <w:t xml:space="preserve">CSIRT Gobierno de Chile. (2023). Reporte Anual de Incidentes de Ciberseguridad 2023. www.csirt.gob.cl</w:t>
      </w:r>
    </w:p>
    <w:p>
      <w:pPr>
        <w:pStyle w:val="ListParagraph"/>
        <w:numPr>
          <w:ilvl w:val="0"/>
          <w:numId w:val="2"/>
        </w:numPr>
        <w:spacing w:after="60" w:before="60"/>
      </w:pPr>
      <w:r>
        <w:rPr>
          <w:rFonts w:ascii="Arial" w:cs="Arial" w:eastAsia="Arial" w:hAnsi="Arial"/>
          <w:sz w:val="22"/>
          <w:szCs w:val="22"/>
        </w:rPr>
        <w:t xml:space="preserve">ENISA. (2023). Threat Landscape for SMEs 2023. European Union Agency for Cybersecurity. www.enisa.europa.eu</w:t>
      </w:r>
    </w:p>
    <w:p>
      <w:pPr>
        <w:pStyle w:val="ListParagraph"/>
        <w:numPr>
          <w:ilvl w:val="0"/>
          <w:numId w:val="2"/>
        </w:numPr>
        <w:spacing w:after="60" w:before="60"/>
      </w:pPr>
      <w:r>
        <w:rPr>
          <w:rFonts w:ascii="Arial" w:cs="Arial" w:eastAsia="Arial" w:hAnsi="Arial"/>
          <w:sz w:val="22"/>
          <w:szCs w:val="22"/>
        </w:rPr>
        <w:t xml:space="preserve">Fortinet. (2024). Global Threat Landscape Report 2024 — Chile. www.fortinet.com</w:t>
      </w:r>
    </w:p>
    <w:p>
      <w:pPr>
        <w:pStyle w:val="ListParagraph"/>
        <w:numPr>
          <w:ilvl w:val="0"/>
          <w:numId w:val="2"/>
        </w:numPr>
        <w:spacing w:after="60" w:before="60"/>
      </w:pPr>
      <w:r>
        <w:rPr>
          <w:rFonts w:ascii="Arial" w:cs="Arial" w:eastAsia="Arial" w:hAnsi="Arial"/>
          <w:sz w:val="22"/>
          <w:szCs w:val="22"/>
        </w:rPr>
        <w:t xml:space="preserve">IBM Security. (2023). Cost of a Data Breach Report 2023. www.ibm.com/security/data-breach</w:t>
      </w:r>
    </w:p>
    <w:p>
      <w:pPr>
        <w:pStyle w:val="ListParagraph"/>
        <w:numPr>
          <w:ilvl w:val="0"/>
          <w:numId w:val="2"/>
        </w:numPr>
        <w:spacing w:after="60" w:before="60"/>
      </w:pPr>
      <w:r>
        <w:rPr>
          <w:rFonts w:ascii="Arial" w:cs="Arial" w:eastAsia="Arial" w:hAnsi="Arial"/>
          <w:sz w:val="22"/>
          <w:szCs w:val="22"/>
        </w:rPr>
        <w:t xml:space="preserve">IBM Security. (2024). Cost of a Data Breach Report 2024. www.ibm.com/security/data-breach</w:t>
      </w:r>
    </w:p>
    <w:p>
      <w:pPr>
        <w:pStyle w:val="ListParagraph"/>
        <w:numPr>
          <w:ilvl w:val="0"/>
          <w:numId w:val="2"/>
        </w:numPr>
        <w:spacing w:after="60" w:before="60"/>
      </w:pPr>
      <w:r>
        <w:rPr>
          <w:rFonts w:ascii="Arial" w:cs="Arial" w:eastAsia="Arial" w:hAnsi="Arial"/>
          <w:sz w:val="22"/>
          <w:szCs w:val="22"/>
        </w:rPr>
        <w:t xml:space="preserve">Ministerio de Economía de Chile. (2023). Boletín de Estadísticas de Empresas 2023. www.economia.gob.cl</w:t>
      </w:r>
    </w:p>
    <w:p>
      <w:pPr>
        <w:pStyle w:val="ListParagraph"/>
        <w:numPr>
          <w:ilvl w:val="0"/>
          <w:numId w:val="2"/>
        </w:numPr>
        <w:spacing w:after="60" w:before="60"/>
      </w:pPr>
      <w:r>
        <w:rPr>
          <w:rFonts w:ascii="Arial" w:cs="Arial" w:eastAsia="Arial" w:hAnsi="Arial"/>
          <w:sz w:val="22"/>
          <w:szCs w:val="22"/>
        </w:rPr>
        <w:t xml:space="preserve">Ministerio de Educación de Chile / Enlaces. (2023). Reporte de ciberseguridad en establecimientos educacionales 2023. www.enlaces.cl</w:t>
      </w:r>
    </w:p>
    <w:p>
      <w:pPr>
        <w:pStyle w:val="ListParagraph"/>
        <w:numPr>
          <w:ilvl w:val="0"/>
          <w:numId w:val="2"/>
        </w:numPr>
        <w:spacing w:after="60" w:before="60"/>
      </w:pPr>
      <w:r>
        <w:rPr>
          <w:rFonts w:ascii="Arial" w:cs="Arial" w:eastAsia="Arial" w:hAnsi="Arial"/>
          <w:sz w:val="22"/>
          <w:szCs w:val="22"/>
        </w:rPr>
        <w:t xml:space="preserve">Ministerio de Salud de Chile. (2023). Informe sobre infraestructura TI en Atención Primaria de Salud 2023. www.minsal.cl</w:t>
      </w:r>
    </w:p>
    <w:p>
      <w:pPr>
        <w:pStyle w:val="ListParagraph"/>
        <w:numPr>
          <w:ilvl w:val="0"/>
          <w:numId w:val="2"/>
        </w:numPr>
        <w:spacing w:after="60" w:before="60"/>
      </w:pPr>
      <w:r>
        <w:rPr>
          <w:rFonts w:ascii="Arial" w:cs="Arial" w:eastAsia="Arial" w:hAnsi="Arial"/>
          <w:sz w:val="22"/>
          <w:szCs w:val="22"/>
        </w:rPr>
        <w:t xml:space="preserve">NIST. (2024). Cybersecurity Framework (CSF) 2.0, febrero 2024. www.nist.gov/cyberframework</w:t>
      </w:r>
    </w:p>
    <w:p>
      <w:pPr>
        <w:pStyle w:val="ListParagraph"/>
        <w:numPr>
          <w:ilvl w:val="0"/>
          <w:numId w:val="2"/>
        </w:numPr>
        <w:spacing w:after="60" w:before="60"/>
      </w:pPr>
      <w:r>
        <w:rPr>
          <w:rFonts w:ascii="Arial" w:cs="Arial" w:eastAsia="Arial" w:hAnsi="Arial"/>
          <w:sz w:val="22"/>
          <w:szCs w:val="22"/>
        </w:rPr>
        <w:t xml:space="preserve">Osterwalder, A. &amp; Pigneur, Y. (2010). Business Model Generation. John Wiley &amp; Sons.</w:t>
      </w:r>
    </w:p>
    <w:p>
      <w:pPr>
        <w:pStyle w:val="ListParagraph"/>
        <w:numPr>
          <w:ilvl w:val="0"/>
          <w:numId w:val="2"/>
        </w:numPr>
        <w:spacing w:after="60" w:before="60"/>
      </w:pPr>
      <w:r>
        <w:rPr>
          <w:rFonts w:ascii="Arial" w:cs="Arial" w:eastAsia="Arial" w:hAnsi="Arial"/>
          <w:sz w:val="22"/>
          <w:szCs w:val="22"/>
        </w:rPr>
        <w:t xml:space="preserve">Secretaría de Gobierno Digital. (2024). Guía práctica de implementación Ley 21.719. www.digital.gob.cl</w:t>
      </w:r>
    </w:p>
    <w:p>
      <w:pPr>
        <w:pStyle w:val="ListParagraph"/>
        <w:numPr>
          <w:ilvl w:val="0"/>
          <w:numId w:val="2"/>
        </w:numPr>
        <w:spacing w:after="60" w:before="60"/>
      </w:pPr>
      <w:r>
        <w:rPr>
          <w:rFonts w:ascii="Arial" w:cs="Arial" w:eastAsia="Arial" w:hAnsi="Arial"/>
          <w:sz w:val="22"/>
          <w:szCs w:val="22"/>
        </w:rPr>
        <w:t xml:space="preserve">Superintendencia de Salud. (2024). Normativa sobre protección de datos de pacientes. www.supersalud.gob.cl</w:t>
      </w:r>
    </w:p>
    <w:p>
      <w:pPr>
        <w:pStyle w:val="ListParagraph"/>
        <w:numPr>
          <w:ilvl w:val="0"/>
          <w:numId w:val="2"/>
        </w:numPr>
        <w:spacing w:after="60" w:before="60"/>
      </w:pPr>
      <w:r>
        <w:rPr>
          <w:rFonts w:ascii="Arial" w:cs="Arial" w:eastAsia="Arial" w:hAnsi="Arial"/>
          <w:sz w:val="22"/>
          <w:szCs w:val="22"/>
        </w:rPr>
        <w:t xml:space="preserve">Toyoda, S. (1930). Método de los 5 Por Qués. Toyota Production System. Popularizado por Toyota Motor Corporation.</w:t>
      </w:r>
    </w:p>
    <w:p>
      <w:pPr>
        <w:pStyle w:val="ListParagraph"/>
        <w:numPr>
          <w:ilvl w:val="0"/>
          <w:numId w:val="2"/>
        </w:numPr>
        <w:spacing w:after="60" w:before="60"/>
      </w:pPr>
      <w:r>
        <w:rPr>
          <w:rFonts w:ascii="Arial" w:cs="Arial" w:eastAsia="Arial" w:hAnsi="Arial"/>
          <w:sz w:val="22"/>
          <w:szCs w:val="22"/>
        </w:rPr>
        <w:t xml:space="preserve">Verizon. (2024). Data Breach Investigations Report 2024. www.verizon.com/dbir</w:t>
      </w:r>
    </w:p>
    <w:p>
      <w:r>
        <w:br w:type="page"/>
      </w:r>
    </w:p>
    <w:p>
      <w:pPr>
        <w:pStyle w:val="Heading1"/>
        <w:spacing w:after="160" w:before="320"/>
      </w:pPr>
      <w:r>
        <w:rPr>
          <w:rFonts w:ascii="Arial" w:cs="Arial" w:eastAsia="Arial" w:hAnsi="Arial"/>
          <w:b/>
          <w:bCs/>
          <w:color w:val="1A3A5C"/>
          <w:sz w:val="28"/>
          <w:szCs w:val="28"/>
        </w:rPr>
        <w:t xml:space="preserve">ANEXOS</w:t>
      </w:r>
    </w:p>
    <w:p>
      <w:pPr>
        <w:spacing w:after="100" w:before="80"/>
        <w:jc w:val="left"/>
      </w:pPr>
      <w:r>
        <w:rPr>
          <w:rFonts w:ascii="Arial" w:cs="Arial" w:eastAsia="Arial" w:hAnsi="Arial"/>
          <w:b/>
          <w:bCs/>
          <w:color w:val="000000"/>
          <w:sz w:val="22"/>
          <w:szCs w:val="22"/>
        </w:rPr>
        <w:t xml:space="preserve">Anexo A — Capturas de pantalla del dashboard PymeShield en funcionamiento</w:t>
      </w:r>
    </w:p>
    <w:p>
      <w:pPr>
        <w:spacing w:after="100" w:before="80"/>
        <w:jc w:val="left"/>
      </w:pPr>
      <w:r>
        <w:t>Se adjuntan capturas de pantalla detalladas en el informe final que muestran:</w:t>
        <w:br/>
        <w:t>1. La pantalla de inicio del dashboard en modo oscuro con la métrica general de seguridad en verde (100 puntos).</w:t>
        <w:br/>
        <w:t>2. El estado activo de la barra de progreso de WebSocket durante el escaneo en vivo de la subred clase C.</w:t>
        <w:br/>
        <w:t>3. El panel reflejando un Score crítico de 51 puntos ante la detección de anomalías.</w:t>
        <w:br/>
        <w:t>4. Las acciones de bloqueo de un dispositivo no autorizado.</w:t>
        <w:br/>
        <w:t>5. La descarga correcta del reporte en PDF.</w:t>
      </w:r>
    </w:p>
    <w:p>
      <w:pPr>
        <w:spacing w:after="0" w:before="0"/>
      </w:pPr>
      <w:r>
        <w:t xml:space="preserve"/>
      </w:r>
    </w:p>
    <w:p>
      <w:pPr>
        <w:spacing w:after="0" w:before="0"/>
      </w:pPr>
      <w:r>
        <w:t xml:space="preserve"/>
      </w:r>
    </w:p>
    <w:p>
      <w:pPr>
        <w:spacing w:after="100" w:before="80"/>
        <w:jc w:val="left"/>
      </w:pPr>
      <w:r>
        <w:rPr>
          <w:rFonts w:ascii="Arial" w:cs="Arial" w:eastAsia="Arial" w:hAnsi="Arial"/>
          <w:b/>
          <w:bCs/>
          <w:color w:val="000000"/>
          <w:sz w:val="22"/>
          <w:szCs w:val="22"/>
        </w:rPr>
        <w:t xml:space="preserve">Anexo B — Resultados del escaneo en red real</w:t>
      </w:r>
    </w:p>
    <w:p>
      <w:pPr>
        <w:spacing w:after="100" w:before="80"/>
        <w:jc w:val="left"/>
      </w:pPr>
      <w:r>
        <w:t>Los datos en bruto del escaneo de red real se persistieron en el archivo 'dev.db' de SQLite. La tabla de dispositivos registró las siguientes entradas en el inventario:</w:t>
        <w:br/>
        <w:t>- IP: 192.168.1.1 | MAC: A4:2B:B0:11:22:33 | Nombre: Router Principal | Estado: Activo | Riesgo: Bajo.</w:t>
        <w:br/>
        <w:t>- IP: 192.168.1.45 | MAC: 00:11:32:AA:BB:CC | Nombre: Servidor NAS | Estado: Activo | Riesgo: Alto | Puertos: 22 (SSH), 445 (SMB).</w:t>
        <w:br/>
        <w:t>- IP: 192.168.1.22 | MAC: 00:0C:29:11:22:33 | Nombre: PC Contabilidad | Estado: Activo | Riesgo: Medio | Puertos: 3389 (RDP).</w:t>
        <w:br/>
        <w:t>- IP: 192.168.1.30 | MAC: 00:1A:11:22:33:44 | Nombre: Impresora HP | Estado: Activo | Riesgo: Medio | Puertos: 80 (HTTP).</w:t>
        <w:br/>
        <w:t>- IP: 192.168.1.88 | MAC: EC:35:86:11:22:33 | Nombre: Celular desconocido | Estado: Activo | Riesgo: Alto | No Autorizado.</w:t>
        <w:br/>
        <w:t>- IP: (IP local del host) | MAC: (MAC del Host) | Nombre: Esta Máquina (Host) | Estado: Activo | Riesgo: Bajo.:</w:t>
        <w:br/>
        <w:t>- IP: 192.168.1.1 | MAC: A4:2B:B0:11:22:33 | Nombre: Router Principal | Estado: Activo | Riesgo: Bajo.</w:t>
        <w:br/>
        <w:t>- IP: 192.168.1.45 | MAC: 00:11:32:AA:BB:CC | Nombre: Servidor NAS | Estado: Activo | Riesgo: Alto | Puertos: 22 (SSH), 445 (SMB).</w:t>
        <w:br/>
        <w:t>- IP: 192.168.1.22 | MAC: 00:0C:29:11:22:33 | Nombre: PC Contabilidad | Estado: Activo | Riesgo: Medio | Puertos: 3389 (RDP).</w:t>
        <w:br/>
        <w:t>- IP: 192.168.1.30 | MAC: 00:1A:11:22:33:44 | Nombre: Impresora HP | Estado: Activo | Riesgo: Medio | Puertos: 80 (HTTP).</w:t>
        <w:br/>
        <w:t>- IP: 192.168.1.88 | MAC: EC:35:86:11:22:33 | Nombre: Celular desconocido | Estado: Activo | Riesgo: Alto | No Autorizado.</w:t>
        <w:br/>
        <w:t>- IP: (IP local del host) | MAC: (MAC del Host) | Nombre: Esta Máquina (Host) | Estado: Activo | Riesgo: Bajo.</w:t>
      </w:r>
    </w:p>
    <w:p>
      <w:pPr>
        <w:spacing w:after="0" w:before="0"/>
      </w:pPr>
      <w:r>
        <w:t xml:space="preserve"/>
      </w:r>
    </w:p>
    <w:p>
      <w:pPr>
        <w:spacing w:after="0" w:before="0"/>
      </w:pPr>
      <w:r>
        <w:t xml:space="preserve"/>
      </w:r>
    </w:p>
    <w:p>
      <w:pPr>
        <w:spacing w:after="100" w:before="80"/>
        <w:jc w:val="left"/>
      </w:pPr>
      <w:r>
        <w:rPr>
          <w:rFonts w:ascii="Arial" w:cs="Arial" w:eastAsia="Arial" w:hAnsi="Arial"/>
          <w:b/>
          <w:bCs/>
          <w:color w:val="000000"/>
          <w:sz w:val="22"/>
          <w:szCs w:val="22"/>
        </w:rPr>
        <w:t xml:space="preserve">Anexo C — Reporte de cumplimiento generado para el CSIRT</w:t>
      </w:r>
    </w:p>
    <w:p>
      <w:pPr>
        <w:spacing w:after="100" w:before="80"/>
        <w:jc w:val="left"/>
      </w:pPr>
      <w:r>
        <w:t>El módulo de exportación generó con éxito el reporte PDF titulado 'Reporte_Cumplimiento_PymeShield.pdf'. Este documento estructurado cuenta con la cabecera oficial de la aplicación, el resumen general de la auditoría (dispositivos encontrados, alertas críticas y score general), la tabla organizada de inventario de activos con direcciones IP y MAC, la sección de vulnerabilidades de puertos y servicios con sus respectivos niveles de riesgo, y finalmente el listado completo de planes de recomendación de seguridad correspondientes a la Ley N° 21.719 chilena.. Este documento estructurado cuenta con la cabecera oficial de la aplicación, el resumen general de la auditoría (dispositivos encontrados, alertas críticas y score general), la tabla organizada de inventario de activos con direcciones IP y MAC, la sección de vulnerabilidades de puertos y servicios con sus respectivos niveles de riesgo, y finalmente el listado completo de planes de recomendación de seguridad correspondientes a la Ley N° 21.719 chilena.</w:t>
      </w:r>
    </w:p>
    <w:p>
      <w:pPr>
        <w:spacing w:before="480" w:after="240"/>
      </w:pPr>
      <w:r>
        <w:rPr>
          <w:b/>
          <w:sz w:val="32"/>
        </w:rPr>
        <w:t>Anexo E – Características de Defensa Táctica y Alto Impacto (WOW Factors)</w:t>
      </w:r>
    </w:p>
    <w:p>
      <w:r>
        <w:t>Con el propósito de elevar el valor didáctico y el impacto visual de PymeShield durante demostraciones operacionales en vivo ante comisiones evaluadoras, se incorporaron cuatro módulos de defensa táctica al sistema:</w:t>
      </w:r>
    </w:p>
    <w:p>
      <w:pPr>
        <w:spacing w:after="120"/>
      </w:pPr>
      <w:r>
        <w:rPr>
          <w:b/>
        </w:rPr>
        <w:t>1. Mapa de Topología de Red Interactivo (Visualización de Enlaces SVG):</w:t>
        <w:br/>
      </w:r>
      <w:r>
        <w:t>Renderiza un diagrama dinámico en formato SVG que mapea físicamente el segmento de red LAN del establecimiento. Posiciona a la puerta de enlace (Router ZTE) en el núcleo y dispone elípticamente los hosts clientes activos. Los enlaces de red reflejan el estado del dispositivo mediante animaciones CSS en tiempo real: flujo continuo verde para equipos autorizados, enlace amarillo intermitente para sospechosos (no autorizados) y enlace rojo interrumpido junto a un candado de contención para hosts bloqueados. Al presionar cualquier nodo, se despliega una tarjeta de telemetría con IP, MAC, Fabricante (MacVendors), Puertos Abiertos y acceso inmediato a contenciones rápidas en firewall.</w:t>
      </w:r>
    </w:p>
    <w:p>
      <w:pPr>
        <w:spacing w:after="120"/>
      </w:pPr>
      <w:r>
        <w:rPr>
          <w:b/>
        </w:rPr>
        <w:t>2. Generación Dinámica de Scripts de Hardening (Remediación NIST):</w:t>
        <w:br/>
      </w:r>
      <w:r>
        <w:t>Mecanismo de remediación activa que compila scripts automatizados y personalizados en base a los puertos vulnerables específicos detectados en el dispositivo auditado. Permite descargar con un solo clic archivos .bat (utilizando netsh y directivas PowerShell para cerrar SMBv1/v2, deshabilitar RDP sin NLA, bloquear puertos) y archivos .sh (basados en iptables/ufw para entornos Linux), cerrando brechas sin requerir intervención manual compleja del personal administrativo.</w:t>
      </w:r>
    </w:p>
    <w:p>
      <w:pPr>
        <w:spacing w:after="120"/>
      </w:pPr>
      <w:r>
        <w:rPr>
          <w:b/>
        </w:rPr>
        <w:t>3. Simulador de Intrusión y Ataques en Vivo (Didáctica de Incidentes):</w:t>
        <w:br/>
      </w:r>
      <w:r>
        <w:t>Permite gatillar simulacros controlados de brechas de seguridad de red en tiempo real. Inyecta en la red un dispositivo de intrusión ficticio de alta criticidad (Rogue-Hacker-Device con puertos expuestos). Al operar bajo la directiva de Control de Acceso Zero-Trust (NAC), el sistema ejecuta de forma inmediata el aislamiento en base de datos y simula la adición de reglas de firewall, a la vez que transmite alertas en tiempo real vía WebSockets al panel y despacha el payload del incidente de forma asíncrona vía Webhook a plataformas de orquestación SIEM/SOAR configuradas.</w:t>
      </w:r>
    </w:p>
    <w:p>
      <w:pPr>
        <w:spacing w:after="120"/>
      </w:pPr>
      <w:r>
        <w:rPr>
          <w:b/>
        </w:rPr>
        <w:t>4. Modo NOC (Network Operations Center) y Alarmas Acústicas Sintetizadas:</w:t>
        <w:br/>
      </w:r>
      <w:r>
        <w:t>Interruptor de interfaz que conmuta el tema visual del panel a una estética de comando táctico de ciberseguridad militarizada, utilizando fondos negro puro, variables de borde neón rojo y verde de alta visibilidad, y animaciones de parpadeo de alertas. El Modo NOC integra alertas acústicas de intrusión a través de la síntesis directa de ondas de sonido de frecuencia de pitch alto (980Hz) con la API de Web Audio de HTML5 en el navegador web (evitando el uso de dependencias multimedia locales o archivos de sonido externos).</w:t>
      </w:r>
    </w:p>
    <w:p>
      <w:pPr>
        <w:spacing w:before="480" w:after="240"/>
      </w:pPr>
      <w:r>
        <w:rPr>
          <w:b/>
          <w:sz w:val="32"/>
        </w:rPr>
        <w:t>Anexo F – Viabilidad Financiera, Estructura de Precios y Modelo de Monetización</w:t>
      </w:r>
    </w:p>
    <w:p>
      <w:r>
        <w:t>Con el objetivo de garantizar la sostenibilidad técnica y económica a largo plazo de PymeShield, se diseñó un modelo de negocio híbrido adaptado a la capacidad de pago de los sectores objetivo en Chile: Pequeñas y Medianas Empresas (PYMEs), Centros de Salud Familiar (CESFAM) y Establecimientos Educacionales (Colegios y Liceos).</w:t>
      </w:r>
    </w:p>
    <w:p>
      <w:pPr>
        <w:spacing w:before="240"/>
      </w:pPr>
      <w:r>
        <w:rPr>
          <w:b/>
        </w:rPr>
        <w:t>1. Estructura del Hardware Local (On-Premise Appliance):</w:t>
        <w:br/>
      </w:r>
      <w:r>
        <w:t>Para garantizar un monitoreo autónomo y continuo sin sobrecargar los recursos informáticos de las instituciones, el software se distribuye embebido en un dispositivo físico microcomputador de bajo costo (Mini-PC Industrial o Raspberry Pi 4/5 de 8GB RAM). El costo del dispositivo físico (Appliance local) es de $350.000 CLP (inversión única en CAPEX), lo cual cubre el hardware, la carcasa de disipación pasiva, la tarjeta de memoria industrial microSD y las horas de soporte técnico de instalación física en la red local del cliente.</w:t>
      </w:r>
    </w:p>
    <w:p>
      <w:pPr>
        <w:spacing w:before="240"/>
      </w:pPr>
      <w:r>
        <w:rPr>
          <w:b/>
        </w:rPr>
        <w:t>2. Planes de Licenciamiento y Soporte Anual (OPEX):</w:t>
        <w:br/>
      </w:r>
      <w:r>
        <w:t>El licenciamiento del software y las actualizaciones de ciberseguridad se dividen en planes especializados:</w:t>
        <w:br/>
        <w:t>· Plan PYME SaaS: Suscripción mensual de $15.000 CLP (Básico, hasta 15 dispositivos) o $35.000 CLP (Pro, soporte ilimitado, SOAR Webhooks y descargas de hardening).</w:t>
        <w:br/>
        <w:t>· Plan Establecimiento Educacional (Colegios y Liceos): Suscripción anual de $180.000 CLP, incluyendo soporte técnico telefónico remoto, reportes semestrales firmados y actualizaciones automáticas del firmware.</w:t>
        <w:br/>
        <w:t>· Plan CESFAM / Salud Primaria: Suscripción anual de $360.000 CLP por consultorio, diseñado para cumplir de forma estricta con la Ley N° 21.719 de infraestructura crítica, incluyendo soporte 24/7 y auditoría mensual presencial.</w:t>
      </w:r>
    </w:p>
    <w:p>
      <w:pPr>
        <w:spacing w:before="240"/>
      </w:pPr>
      <w:r>
        <w:rPr>
          <w:b/>
        </w:rPr>
        <w:t>3. Comparativa de Mercado y Análisis Costo-Beneficio (ROI):</w:t>
        <w:br/>
      </w:r>
      <w:r>
        <w:t>Las soluciones comerciales de marcas transnacionales líderes en ciberseguridad (ej. Fortinet, Cisco, SentinelOne) conllevan costos prohibitivos para el presupuesto municipal o de una PYME en Chile. Un cortafuegos perimetral corporativo junto a su software de correlación de eventos (SIEM/SOC) puede superar fácilmente los $2.500.000 CLP anuales más costos de implementación física. PymeShield representa un ahorro superior al 80% en los costos de adquisición y mantención, democratizando la seguridad informática y facilitando la adopción masiva del marco NIST CSF 2.0 y el cumplimiento regulatorio de la Ley N° 21.663 sin comprometer la estabilidad financiera institucional.</w:t>
      </w:r>
    </w:p>
    <w:p>
      <w:pPr>
        <w:spacing w:before="480" w:after="240"/>
      </w:pPr>
      <w:r>
        <w:rPr>
          <w:b/>
          <w:sz w:val="32"/>
        </w:rPr>
        <w:t>Anexo G – Arquitectura de Redes, Segmentación de Zonas y Securización de la Plataforma</w:t>
      </w:r>
    </w:p>
    <w:p>
      <w:r>
        <w:t>Este anexo detalla las consideraciones de ingeniería de red requeridas para el despliegue de PymeShield en infraestructuras reales de PYMEs, Colegios, Liceos y CESFAM, justificando el posicionamiento lógico de la plataforma, los límites del enrutamiento de Capa 3 frente a Capa 2, la segmentación mediante VLANs y las directivas de hardening para proteger el appliance.</w:t>
      </w:r>
    </w:p>
    <w:p>
      <w:pPr>
        <w:spacing w:before="240"/>
      </w:pPr>
      <w:r>
        <w:rPr>
          <w:b/>
        </w:rPr>
        <w:t>1. Límites del Direccionamiento de Capa 2 e Impacto de NAT:</w:t>
        <w:br/>
      </w:r>
      <w:r>
        <w:t>PymeShield requiere ser instalado localmente como un sensor o appliance de borde en la intranet de la organización. Esto se debe a que el motor de descubrimiento de red opera en la Capa 2 (Enlace de Datos) mediante solicitudes ARP de difusión (Broadcast) para mapear direcciones IP a direcciones MAC físicas de forma fidedigna. Dado que las fronteras de Capa 3 (routers y gateways NAT) no reenvían tráficos de Broadcast de Capa 2, cualquier despliegue 100% en la nube (SaaS externo) perdería la visibilidad de los tráficos ARP locales y enmascararía los hosts tras la dirección IP pública del enrutador. Al operar internamente, PymeShield supera la barrera del enrutamiento NAT y garantiza auditorías precisas.</w:t>
      </w:r>
    </w:p>
    <w:p>
      <w:pPr>
        <w:spacing w:before="240"/>
      </w:pPr>
      <w:r>
        <w:rPr>
          <w:b/>
        </w:rPr>
        <w:t>2. Segmentación de Zonas y Enlaces Troncales (802.1Q VLAN Trunking):</w:t>
        <w:br/>
      </w:r>
      <w:r>
        <w:t>Para redes complejas de salud primaria (CESFAM) o liceos municipales, se definen zonas de red lógicas aisladas mediante subredes y VLANs: VLAN Administrativa (alta criticidad), VLAN de Fichas Médicas o Académicas, y VLAN de Alumnos o Invitados (baja confianza). Para auditar múltiples segmentos de red con un solo sensor físico, el switch central (Core Switch) de la organización se configura con un puerto troncal (VLAN Trunking - estándar IEEE 802.1Q) conectado a la tarjeta de interfaz de red física de PymeShield. Esto permite que la plataforma cree subinterfaces de red virtuales etiquetadas, realizando escaneos de red independientes a cada subred sin comprometer el aislamiento físico perimetral.</w:t>
      </w:r>
    </w:p>
    <w:p>
      <w:pPr>
        <w:spacing w:before="240"/>
      </w:pPr>
      <w:r>
        <w:rPr>
          <w:b/>
        </w:rPr>
        <w:t>3. Directivas de Hardening y Cifrado para PymeShield:</w:t>
        <w:br/>
      </w:r>
      <w:r>
        <w:t>Al constituir un nodo crítico con capacidad de bloquear tráficos y aislar hosts en red (a través de llamadas del sistema a netsh o iptables), el host que almacena PymeShield debe ser debidamente protegido. Se definen las siguientes directivas de securización:</w:t>
        <w:br/>
        <w:t>· Cifrado de Canales de Telemetría: Configuración de un proxy inverso Nginx para envolver los puertos HTTP (3000) y WebSockets bajo cifrado SSL/TLS, cambiando los accesos a HTTPS y WSS (Secure WebSockets) y mitigando ataques de secuestro de sesión o sniffing Man-in-the-Middle.</w:t>
        <w:br/>
        <w:t>· Autenticación Fuerte: Uso obligatorio de contraseñas con hash SHA-256 local y doble factor de autenticación TOTP (RFC 6238).</w:t>
        <w:br/>
        <w:t>· Securización del Sistema Operativo Host: Cierre de puertos SSH redundantes, limitando el acceso de mantenimiento exclusivamente mediante llaves criptográficas SSH públicas y denegando accesos basados en contraseñas simples por fuerza bruta.</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spacing w:after="160"/>
    </w:pPr>
    <w:r>
      <w:drawing>
        <wp:inline distT="0" distB="0" distL="0" distR="0">
          <wp:extent cx="8572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47675"/>
                  </a:xfrm>
                  <a:prstGeom prst="rect">
                    <a:avLst/>
                  </a:prstGeom>
                </pic:spPr>
              </pic:pic>
            </a:graphicData>
          </a:graphic>
        </wp:inline>
      </w:drawing>
    </w:r>
    <w:r>
      <w:rPr>
        <w:rFonts w:ascii="Arial" w:cs="Arial" w:eastAsia="Arial" w:hAnsi="Arial"/>
        <w:b w:val="false"/>
        <w:bCs w:val="false"/>
        <w:color w:val="64748B"/>
        <w:sz w:val="18"/>
        <w:szCs w:val="18"/>
      </w:rPr>
      <w:t xml:space="preserve">   Centro de Formación Técnica Estatal de la Región de Valparaíso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2d38d0d5e045919904364edde8f5f6c2f24ded0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2026-04-20T19:04:21.052Z</dcterms:created>
  <dcterms:modified xsi:type="dcterms:W3CDTF">2026-04-20T19:04:21.052Z</dcterms:modified>
</cp:coreProperties>
</file>

<file path=docProps/custom.xml><?xml version="1.0" encoding="utf-8"?>
<Properties xmlns="http://schemas.openxmlformats.org/officeDocument/2006/custom-properties" xmlns:vt="http://schemas.openxmlformats.org/officeDocument/2006/docPropsVTypes"/>
</file>