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color w:val="003366"/>
          <w:sz w:val="36"/>
        </w:rPr>
        <w:t>Guía de Estudio Exhaustiva: Proyecto de Título PymeShield</w:t>
      </w:r>
    </w:p>
    <w:p>
      <w:pPr>
        <w:spacing w:after="120"/>
      </w:pPr>
    </w:p>
    <w:p>
      <w:pPr>
        <w:spacing w:after="120"/>
      </w:pPr>
      <w:r>
        <w:t xml:space="preserve">Esta guía de estudio consolida el 100% de los fundamentos teóricos, decisiones de diseño, detalles técnicos, cumplimiento legal y conceptos de red que integran el proyecto </w:t>
      </w:r>
      <w:r>
        <w:rPr>
          <w:b/>
        </w:rPr>
        <w:t>PymeShield</w:t>
      </w:r>
      <w:r>
        <w:t>. Utilízala para estudiar y dominar tu defensa de título ante la comisión evaluadora.</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ÍNDICE DE CONTENIDOS</w:t>
      </w:r>
    </w:p>
    <w:p>
      <w:pPr>
        <w:spacing w:after="120"/>
      </w:pPr>
      <w:r>
        <w:t xml:space="preserve">0. </w:t>
      </w:r>
      <w:r>
        <w:rPr>
          <w:b/>
        </w:rPr>
        <w:t>Fundamentación: ¿Por qué nace, Para quién va dirigido y Valor Operacional?</w:t>
      </w:r>
      <w:r/>
    </w:p>
    <w:p>
      <w:pPr>
        <w:spacing w:after="120"/>
      </w:pPr>
      <w:r>
        <w:t xml:space="preserve">1. </w:t>
      </w:r>
      <w:r>
        <w:rPr>
          <w:b/>
        </w:rPr>
        <w:t>Ficha Técnica y Tecnologías (Stack)</w:t>
      </w:r>
      <w:r/>
    </w:p>
    <w:p>
      <w:pPr>
        <w:spacing w:after="120"/>
      </w:pPr>
      <w:r>
        <w:t xml:space="preserve">2. </w:t>
      </w:r>
      <w:r>
        <w:rPr>
          <w:b/>
        </w:rPr>
        <w:t>Arquitectura y Motores de Red (Backend)</w:t>
      </w:r>
      <w:r/>
    </w:p>
    <w:p>
      <w:pPr>
        <w:spacing w:after="120"/>
      </w:pPr>
      <w:r>
        <w:t xml:space="preserve">3. </w:t>
      </w:r>
      <w:r>
        <w:rPr>
          <w:b/>
        </w:rPr>
        <w:t>Seguridad Criptográfica y Control de Acceso (OWASP)</w:t>
      </w:r>
      <w:r/>
    </w:p>
    <w:p>
      <w:pPr>
        <w:spacing w:after="120"/>
      </w:pPr>
      <w:r>
        <w:t xml:space="preserve">4. </w:t>
      </w:r>
      <w:r>
        <w:rPr>
          <w:b/>
        </w:rPr>
        <w:t>Mapeo Metodológico: NIST CSF 2.0 y Leyes Chilenas</w:t>
      </w:r>
      <w:r/>
    </w:p>
    <w:p>
      <w:pPr>
        <w:spacing w:after="120"/>
      </w:pPr>
      <w:r>
        <w:t xml:space="preserve">5. </w:t>
      </w:r>
      <w:r>
        <w:rPr>
          <w:b/>
        </w:rPr>
        <w:t>Características de Alto Impacto (WOW Factors)</w:t>
      </w:r>
      <w:r/>
    </w:p>
    <w:p>
      <w:pPr>
        <w:spacing w:after="120"/>
      </w:pPr>
      <w:r>
        <w:t xml:space="preserve">6. </w:t>
      </w:r>
      <w:r>
        <w:rPr>
          <w:b/>
        </w:rPr>
        <w:t>Módulos de Integración SOAR / SIEM (Webhooks)</w:t>
      </w:r>
      <w:r/>
    </w:p>
    <w:p>
      <w:pPr>
        <w:spacing w:after="120"/>
      </w:pPr>
      <w:r>
        <w:t xml:space="preserve">7. </w:t>
      </w:r>
      <w:r>
        <w:rPr>
          <w:b/>
        </w:rPr>
        <w:t>Estrategia de Despliegue con Docker</w:t>
      </w:r>
      <w:r/>
    </w:p>
    <w:p>
      <w:pPr>
        <w:spacing w:after="120"/>
      </w:pPr>
      <w:r>
        <w:t xml:space="preserve">8. </w:t>
      </w:r>
      <w:r>
        <w:rPr>
          <w:b/>
        </w:rPr>
        <w:t>Balotario de Preguntas y Respuestas de Examen (7.0)</w:t>
      </w:r>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0. FUNDAMENTACIÓN: ¿POR QUÉ NACE, PARA QUIÉN VA DIRIGIDO Y VALOR OPERACIONAL?</w:t>
      </w:r>
    </w:p>
    <w:p>
      <w:pPr>
        <w:spacing w:after="120"/>
      </w:pPr>
    </w:p>
    <w:p>
      <w:pPr>
        <w:spacing w:before="240" w:after="120"/>
      </w:pPr>
      <w:r>
        <w:rPr>
          <w:b/>
          <w:color w:val="336699"/>
          <w:sz w:val="24"/>
        </w:rPr>
        <w:t>A. ¿Por qué nace PymeShield? (Justificación de la Ciberdefensa)</w:t>
      </w:r>
    </w:p>
    <w:p>
      <w:pPr>
        <w:spacing w:after="120"/>
      </w:pPr>
      <w:r>
        <w:t>Las corporaciones de gran escala tienen la capacidad económica de costear licencias anuales de firewalls industriales y contratar personal para un Centro de Operaciones de Seguridad (SOC) de monitoreo 24/7. Sin embargo, las organizaciones de escala local en Chile sufren una desprotección crítica:</w:t>
      </w:r>
    </w:p>
    <w:p>
      <w:pPr>
        <w:pStyle w:val="ListBullet"/>
        <w:spacing w:after="120"/>
      </w:pPr>
      <w:r/>
      <w:r>
        <w:rPr>
          <w:b/>
        </w:rPr>
        <w:t>Limitación presupuestaria:</w:t>
      </w:r>
      <w:r>
        <w:t xml:space="preserve"> No cuentan con capital para costear equipamiento de red perimetral industrial.</w:t>
      </w:r>
    </w:p>
    <w:p>
      <w:pPr>
        <w:pStyle w:val="ListBullet"/>
        <w:spacing w:after="120"/>
      </w:pPr>
      <w:r/>
      <w:r>
        <w:rPr>
          <w:b/>
        </w:rPr>
        <w:t>Carencia de personal especializado:</w:t>
      </w:r>
      <w:r>
        <w:t xml:space="preserve"> La seguridad informática es administrada de forma parcial por técnicos generales o personal de soporte sin especialización en ciberdefensa.</w:t>
      </w:r>
    </w:p>
    <w:p>
      <w:pPr>
        <w:pStyle w:val="ListBullet"/>
        <w:spacing w:after="120"/>
      </w:pPr>
      <w:r/>
      <w:r>
        <w:rPr>
          <w:b/>
        </w:rPr>
        <w:t>Superficie de ataque expuesta:</w:t>
      </w:r>
      <w:r>
        <w:t xml:space="preserve"> Los ciberdelincuentes y virus automatizados (como WannaCry) se aprovechan de esta falta de visibilidad interna para secuestrar información y paralizar las operaciones.</w:t>
      </w:r>
    </w:p>
    <w:p>
      <w:pPr>
        <w:spacing w:after="120"/>
      </w:pPr>
    </w:p>
    <w:p>
      <w:pPr>
        <w:spacing w:before="240" w:after="120"/>
      </w:pPr>
      <w:r>
        <w:rPr>
          <w:b/>
          <w:color w:val="336699"/>
          <w:sz w:val="24"/>
        </w:rPr>
        <w:t>B. ¿Para quién está diseñado? (Público Objetivo)</w:t>
      </w:r>
    </w:p>
    <w:p>
      <w:pPr>
        <w:spacing w:after="120"/>
      </w:pPr>
      <w:r>
        <w:t>PymeShield se adapta específicamente a cuatro sectores clave de la comunidad chilena que sufren estas brechas:</w:t>
      </w:r>
    </w:p>
    <w:p>
      <w:pPr>
        <w:spacing w:after="120"/>
      </w:pPr>
      <w:r>
        <w:t xml:space="preserve">1. </w:t>
      </w:r>
      <w:r>
        <w:rPr>
          <w:b/>
        </w:rPr>
        <w:t>Pequeñas y Medianas Empresas (PYMEs):</w:t>
      </w:r>
      <w:r>
        <w:t xml:space="preserve"> Protege la facturación, los registros de contabilidad y las bases de datos de clientes, evitando la paralización del negocio ante secuestros de información.</w:t>
      </w:r>
    </w:p>
    <w:p>
      <w:pPr>
        <w:spacing w:after="120"/>
      </w:pPr>
      <w:r>
        <w:t xml:space="preserve">2. </w:t>
      </w:r>
      <w:r>
        <w:rPr>
          <w:b/>
        </w:rPr>
        <w:t>Colegios:</w:t>
      </w:r>
      <w:r>
        <w:t xml:space="preserve"> Salvaguarda la privacidad de las fichas de matrículas, información sensible de menores de edad y registros del Ministerio de Educación, mitigando riesgos de fugas y sanciones.</w:t>
      </w:r>
    </w:p>
    <w:p>
      <w:pPr>
        <w:spacing w:after="120"/>
      </w:pPr>
      <w:r>
        <w:t xml:space="preserve">3. </w:t>
      </w:r>
      <w:r>
        <w:rPr>
          <w:b/>
        </w:rPr>
        <w:t>Liceos:</w:t>
      </w:r>
      <w:r>
        <w:t xml:space="preserve"> Monitorea y resguarda la infraestructura física de laboratorios de computación, robótica y redes Wi-Fi institucionales ante la conexión de intrusos no autorizados.</w:t>
      </w:r>
    </w:p>
    <w:p>
      <w:pPr>
        <w:spacing w:after="120"/>
      </w:pPr>
      <w:r>
        <w:t xml:space="preserve">4. </w:t>
      </w:r>
      <w:r>
        <w:rPr>
          <w:b/>
        </w:rPr>
        <w:t>Centros de Salud Familiar (CESFAM):</w:t>
      </w:r>
      <w:r>
        <w:t xml:space="preserve"> Asegura la confidencialidad de la ficha clínica electrónica de los pacientes de salud primaria, evitando intercepciones y protegiendo infraestructura sanitaria crítica bajo estándares legales.</w:t>
      </w:r>
    </w:p>
    <w:p>
      <w:pPr>
        <w:spacing w:after="120"/>
      </w:pPr>
    </w:p>
    <w:p>
      <w:pPr>
        <w:spacing w:before="240" w:after="120"/>
      </w:pPr>
      <w:r>
        <w:rPr>
          <w:b/>
          <w:color w:val="336699"/>
          <w:sz w:val="24"/>
        </w:rPr>
        <w:t>C. La Filosofía de Diseño: "Operador No Técnico"</w:t>
      </w:r>
    </w:p>
    <w:p>
      <w:pPr>
        <w:spacing w:after="120"/>
      </w:pPr>
      <w:r>
        <w:t>El core tecnológico de PymeShield procesa complejos algoritmos de escaneo, reglas de firewall (</w:t>
      </w:r>
      <w:r>
        <w:rPr>
          <w:rFonts w:ascii="Consolas" w:hAnsi="Consolas"/>
          <w:color w:val="B40000"/>
          <w:sz w:val="20"/>
        </w:rPr>
        <w:t>netsh</w:t>
      </w:r>
      <w:r>
        <w:t>/</w:t>
      </w:r>
      <w:r>
        <w:rPr>
          <w:rFonts w:ascii="Consolas" w:hAnsi="Consolas"/>
          <w:color w:val="B40000"/>
          <w:sz w:val="20"/>
        </w:rPr>
        <w:t>iptables</w:t>
      </w:r>
      <w:r>
        <w:t>) y firmas criptográficas TOTP. Sin embargo, toda esa complejidad se abstrae para el usuario final. Operadoras sin formación en ciberseguridad (como Claudia, la administrativa del CESFAM, recepcionistas de colegios o dueños de PYMEs) pueden vigilar la red, descargar scripts de hardening, silenciar alertas y aislar atacantes con clicks intuitivos en un mapa gráfico a color.</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1. FICHA TÉCNICA Y TECNOLOGÍAS (STACK)</w:t>
      </w:r>
    </w:p>
    <w:p>
      <w:pPr>
        <w:spacing w:after="120"/>
      </w:pPr>
    </w:p>
    <w:p>
      <w:pPr>
        <w:spacing w:after="120"/>
      </w:pPr>
      <w:r>
        <w:t>La comisión evaluará la justificación técnica de las herramientas que elegiste. PymeShield utiliza una arquitectura ligera, libre de licencias costosas y de alto rendimiento.</w:t>
      </w:r>
    </w:p>
    <w:p>
      <w:pPr>
        <w:spacing w:after="120"/>
      </w:pPr>
    </w:p>
    <w:p>
      <w:pPr>
        <w:pStyle w:val="ListBullet"/>
        <w:spacing w:after="120"/>
      </w:pPr>
      <w:r/>
      <w:r>
        <w:rPr>
          <w:b/>
        </w:rPr>
        <w:t>Core Backend:</w:t>
      </w:r>
      <w:r>
        <w:t xml:space="preserve"> Node.js (Express framework). Elegido por su modelo asíncrono no bloqueante de I/O, ideal para realizar múltiples escaneos y pings en paralelo sin congelar el servidor.</w:t>
      </w:r>
    </w:p>
    <w:p>
      <w:pPr>
        <w:pStyle w:val="ListBullet"/>
        <w:spacing w:after="120"/>
      </w:pPr>
      <w:r/>
      <w:r>
        <w:rPr>
          <w:b/>
        </w:rPr>
        <w:t>Base de Datos &amp; ORM:</w:t>
      </w:r>
      <w:r>
        <w:t xml:space="preserve"> SQLite + Prisma ORM.</w:t>
      </w:r>
    </w:p>
    <w:p>
      <w:pPr>
        <w:pStyle w:val="ListBullet"/>
        <w:spacing w:after="120"/>
      </w:pPr>
      <w:r>
        <w:t>*Justificación:* SQLite almacena toda la información en un solo archivo físico local (</w:t>
      </w:r>
      <w:r>
        <w:rPr>
          <w:rFonts w:ascii="Consolas" w:hAnsi="Consolas"/>
          <w:color w:val="B40000"/>
          <w:sz w:val="20"/>
        </w:rPr>
        <w:t>dev.db</w:t>
      </w:r>
      <w:r>
        <w:t>). No requiere credenciales de red, no consume RAM en segundo plano y simplifica el despliegue a un solo clic (portabilidad de borde o *Edge Computing*).</w:t>
      </w:r>
    </w:p>
    <w:p>
      <w:pPr>
        <w:pStyle w:val="ListBullet"/>
        <w:spacing w:after="120"/>
      </w:pPr>
      <w:r/>
      <w:r>
        <w:rPr>
          <w:b/>
        </w:rPr>
        <w:t>Frontend:</w:t>
      </w:r>
      <w:r>
        <w:t xml:space="preserve"> Single Page Application (SPA) en JavaScript Vanilla, HTML5 y CSS3.</w:t>
      </w:r>
    </w:p>
    <w:p>
      <w:pPr>
        <w:pStyle w:val="ListBullet"/>
        <w:spacing w:after="120"/>
      </w:pPr>
      <w:r>
        <w:t>*Justificación:* Al no usar frameworks pesados (como React o Angular), la aplicación es extremadamente ligera. Toda la renderización del mapa SVG y los filtros se procesa en el cliente (navegador del usuario), reduciendo la carga del servidor al mínimo.</w:t>
      </w:r>
    </w:p>
    <w:p>
      <w:pPr>
        <w:pStyle w:val="ListBullet"/>
        <w:spacing w:after="120"/>
      </w:pPr>
      <w:r/>
      <w:r>
        <w:rPr>
          <w:b/>
        </w:rPr>
        <w:t>Librerías Clave:</w:t>
      </w:r>
      <w:r/>
    </w:p>
    <w:p>
      <w:pPr>
        <w:pStyle w:val="ListBullet"/>
        <w:spacing w:after="120"/>
      </w:pPr>
      <w:r/>
      <w:r>
        <w:rPr>
          <w:rFonts w:ascii="Consolas" w:hAnsi="Consolas"/>
          <w:color w:val="B40000"/>
          <w:sz w:val="20"/>
        </w:rPr>
        <w:t>otplib</w:t>
      </w:r>
      <w:r>
        <w:t xml:space="preserve"> (criptografía TOTP para Doble Factor).</w:t>
      </w:r>
    </w:p>
    <w:p>
      <w:pPr>
        <w:pStyle w:val="ListBullet"/>
        <w:spacing w:after="120"/>
      </w:pPr>
      <w:r/>
      <w:r>
        <w:rPr>
          <w:rFonts w:ascii="Consolas" w:hAnsi="Consolas"/>
          <w:color w:val="B40000"/>
          <w:sz w:val="20"/>
        </w:rPr>
        <w:t>qrcode</w:t>
      </w:r>
      <w:r>
        <w:t xml:space="preserve"> (generación de códigos QR en Base64).</w:t>
      </w:r>
    </w:p>
    <w:p>
      <w:pPr>
        <w:pStyle w:val="ListBullet"/>
        <w:spacing w:after="120"/>
      </w:pPr>
      <w:r/>
      <w:r>
        <w:rPr>
          <w:rFonts w:ascii="Consolas" w:hAnsi="Consolas"/>
          <w:color w:val="B40000"/>
          <w:sz w:val="20"/>
        </w:rPr>
        <w:t>ws</w:t>
      </w:r>
      <w:r>
        <w:t xml:space="preserve"> (WebSockets nativos para telemetría en tiempo real).</w:t>
      </w:r>
    </w:p>
    <w:p>
      <w:pPr>
        <w:pStyle w:val="ListBullet"/>
        <w:spacing w:after="120"/>
      </w:pPr>
      <w:r/>
      <w:r>
        <w:rPr>
          <w:rFonts w:ascii="Consolas" w:hAnsi="Consolas"/>
          <w:color w:val="B40000"/>
          <w:sz w:val="20"/>
        </w:rPr>
        <w:t>pdfkit</w:t>
      </w:r>
      <w:r>
        <w:t xml:space="preserve"> (compilación dinámica de reportes PDF).</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2. ARQUITECTURA Y MOTORES DE RED (BACKEND)</w:t>
      </w:r>
    </w:p>
    <w:p>
      <w:pPr>
        <w:spacing w:after="120"/>
      </w:pPr>
    </w:p>
    <w:p>
      <w:pPr>
        <w:spacing w:before="240" w:after="120"/>
      </w:pPr>
      <w:r>
        <w:rPr>
          <w:b/>
          <w:color w:val="336699"/>
          <w:sz w:val="24"/>
        </w:rPr>
        <w:t>El Motor de Escaneo Híbrido (Explicación Técnica):</w:t>
      </w:r>
    </w:p>
    <w:p>
      <w:pPr>
        <w:spacing w:after="120"/>
      </w:pPr>
      <w:r>
        <w:t xml:space="preserve">1. </w:t>
      </w:r>
      <w:r>
        <w:rPr>
          <w:b/>
        </w:rPr>
        <w:t>Barrido de Ping Paralelo:</w:t>
      </w:r>
      <w:r>
        <w:t xml:space="preserve"> El servidor ejecuta una ráfaga de comandos </w:t>
      </w:r>
      <w:r>
        <w:rPr>
          <w:rFonts w:ascii="Consolas" w:hAnsi="Consolas"/>
          <w:color w:val="B40000"/>
          <w:sz w:val="20"/>
        </w:rPr>
        <w:t>ping</w:t>
      </w:r>
      <w:r>
        <w:t xml:space="preserve"> por lotes (de 45 en 45 para no saturar el programador de tareas del kernel) a las 254 direcciones del segmento local (ej. </w:t>
      </w:r>
      <w:r>
        <w:rPr>
          <w:rFonts w:ascii="Consolas" w:hAnsi="Consolas"/>
          <w:color w:val="B40000"/>
          <w:sz w:val="20"/>
        </w:rPr>
        <w:t>192.168.1.1</w:t>
      </w:r>
      <w:r>
        <w:t xml:space="preserve"> a </w:t>
      </w:r>
      <w:r>
        <w:rPr>
          <w:rFonts w:ascii="Consolas" w:hAnsi="Consolas"/>
          <w:color w:val="B40000"/>
          <w:sz w:val="20"/>
        </w:rPr>
        <w:t>192.168.1.254</w:t>
      </w:r>
      <w:r>
        <w:t>).</w:t>
      </w:r>
    </w:p>
    <w:p>
      <w:pPr>
        <w:spacing w:after="120"/>
      </w:pPr>
      <w:r>
        <w:t xml:space="preserve">2. </w:t>
      </w:r>
      <w:r>
        <w:rPr>
          <w:b/>
        </w:rPr>
        <w:t>Propósito del Ping:</w:t>
      </w:r>
      <w:r>
        <w:t xml:space="preserve"> El ping no busca necesariamente que el host responda (muchos dispositivos tienen el ping bloqueado por su firewall). El objetivo real es </w:t>
      </w:r>
      <w:r>
        <w:rPr>
          <w:b/>
        </w:rPr>
        <w:t>forzar a la tarjeta de red del host a actualizar su tabla ARP</w:t>
      </w:r>
      <w:r>
        <w:t xml:space="preserve"> del sistema operativo.</w:t>
      </w:r>
    </w:p>
    <w:p>
      <w:pPr>
        <w:spacing w:after="120"/>
      </w:pPr>
      <w:r>
        <w:t xml:space="preserve">3. </w:t>
      </w:r>
      <w:r>
        <w:rPr>
          <w:b/>
        </w:rPr>
        <w:t>Consulta ARP:</w:t>
      </w:r>
      <w:r>
        <w:t xml:space="preserve"> Inmediatamente después, el servidor ejecuta el comando nativo </w:t>
      </w:r>
      <w:r>
        <w:rPr>
          <w:rFonts w:ascii="Consolas" w:hAnsi="Consolas"/>
          <w:color w:val="B40000"/>
          <w:sz w:val="20"/>
        </w:rPr>
        <w:t>arp -a</w:t>
      </w:r>
      <w:r>
        <w:t xml:space="preserve"> y parsea la salida de la consola. Esto permite obtener la lista exacta de parejas </w:t>
      </w:r>
      <w:r>
        <w:rPr>
          <w:b/>
        </w:rPr>
        <w:t>IP-MAC</w:t>
      </w:r>
      <w:r>
        <w:t xml:space="preserve"> de todos los dispositivos activos en la red física, sin generar ruidos ni ser bloqueado.</w:t>
      </w:r>
    </w:p>
    <w:p>
      <w:pPr>
        <w:spacing w:after="120"/>
      </w:pPr>
      <w:r>
        <w:t xml:space="preserve">4. </w:t>
      </w:r>
      <w:r>
        <w:rPr>
          <w:b/>
        </w:rPr>
        <w:t>Escaneo de Puertos:</w:t>
      </w:r>
      <w:r>
        <w:t xml:space="preserve"> Por cada dispositivo encontrado en la tabla ARP, se abren sockets TCP asíncronos en 14 puertos críticos comunes (22 SSH, 80 HTTP, 443 HTTPS, 445 SMB, 3389 RDP, etc.) con un timeout de 150ms.</w:t>
      </w:r>
    </w:p>
    <w:p>
      <w:pPr>
        <w:spacing w:after="120"/>
      </w:pPr>
    </w:p>
    <w:p>
      <w:pPr>
        <w:spacing w:before="240" w:after="120"/>
      </w:pPr>
      <w:r>
        <w:rPr>
          <w:b/>
          <w:color w:val="336699"/>
          <w:sz w:val="24"/>
        </w:rPr>
        <w:t>El Demonio de Escaneo Automático:</w:t>
      </w:r>
    </w:p>
    <w:p>
      <w:pPr>
        <w:pStyle w:val="ListBullet"/>
        <w:spacing w:after="120"/>
      </w:pPr>
      <w:r>
        <w:t>El servidor ejecuta un temporizador de fondo (</w:t>
      </w:r>
      <w:r>
        <w:rPr>
          <w:rFonts w:ascii="Consolas" w:hAnsi="Consolas"/>
          <w:color w:val="B40000"/>
          <w:sz w:val="20"/>
        </w:rPr>
        <w:t>setInterval</w:t>
      </w:r>
      <w:r>
        <w:t xml:space="preserve">) cada </w:t>
      </w:r>
      <w:r>
        <w:rPr>
          <w:b/>
        </w:rPr>
        <w:t>3 minutos</w:t>
      </w:r>
      <w:r>
        <w:t xml:space="preserve"> que corre de forma silenciosa. Si detecta que un dispositivo ha cambiado de IP, se desconectó, tiene nuevos puertos o es un intruso no autorizado, actualiza la base de datos y empuja la telemetría a la interfaz mediante WebSockets.</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3. SEGURIDAD CRIPTOGRÁFICA Y CONTROL DE ACCESO (OWASP)</w:t>
      </w:r>
    </w:p>
    <w:p>
      <w:pPr>
        <w:spacing w:after="120"/>
      </w:pPr>
    </w:p>
    <w:p>
      <w:pPr>
        <w:spacing w:after="120"/>
      </w:pPr>
      <w:r>
        <w:t>PymeShield implementa directivas estrictas de seguridad para proteger el acceso al panel administrativo local:</w:t>
      </w:r>
    </w:p>
    <w:p>
      <w:pPr>
        <w:spacing w:after="120"/>
      </w:pPr>
    </w:p>
    <w:p>
      <w:pPr>
        <w:spacing w:after="40"/>
        <w:ind w:left="720"/>
      </w:pPr>
      <w:r>
        <w:rPr>
          <w:rFonts w:ascii="Consolas" w:hAnsi="Consolas"/>
          <w:color w:val="505050"/>
          <w:sz w:val="19"/>
        </w:rPr>
        <w:t>[Usuario + Clave] ──► [Hash SHA-256] ──► Coincide? ──► [TOTP Token 6 Dígitos] ──► [Acceso Concedido]</w:t>
      </w:r>
    </w:p>
    <w:p>
      <w:pPr>
        <w:spacing w:after="120"/>
      </w:pPr>
    </w:p>
    <w:p>
      <w:pPr>
        <w:spacing w:before="240" w:after="120"/>
      </w:pPr>
      <w:r>
        <w:rPr>
          <w:b/>
          <w:color w:val="336699"/>
          <w:sz w:val="24"/>
        </w:rPr>
        <w:t>A. Almacenamiento Hashed SHA-256</w:t>
      </w:r>
    </w:p>
    <w:p>
      <w:pPr>
        <w:pStyle w:val="ListBullet"/>
        <w:spacing w:after="120"/>
      </w:pPr>
      <w:r>
        <w:t>Las contraseñas administrativas nunca se guardan en texto plano en la máquina local.</w:t>
      </w:r>
    </w:p>
    <w:p>
      <w:pPr>
        <w:pStyle w:val="ListBullet"/>
        <w:spacing w:after="120"/>
      </w:pPr>
      <w:r>
        <w:t xml:space="preserve">Al configurar una clave en </w:t>
      </w:r>
      <w:r>
        <w:rPr>
          <w:b/>
        </w:rPr>
        <w:t>Ajustes</w:t>
      </w:r>
      <w:r>
        <w:t xml:space="preserve">, el backend calcula su hash SHA-256 y lo guarda en </w:t>
      </w:r>
      <w:r>
        <w:rPr>
          <w:color w:val="0000EE"/>
          <w:u w:val="single"/>
        </w:rPr>
        <w:t>credenciales.json</w:t>
      </w:r>
      <w:r>
        <w:t>. Al iniciar sesión, se compara el hash de la clave ingresada, neutralizando la fuga de contraseñas si el archivo JSON es robado.</w:t>
      </w:r>
    </w:p>
    <w:p>
      <w:pPr>
        <w:spacing w:after="120"/>
      </w:pPr>
    </w:p>
    <w:p>
      <w:pPr>
        <w:spacing w:before="240" w:after="120"/>
      </w:pPr>
      <w:r>
        <w:rPr>
          <w:b/>
          <w:color w:val="336699"/>
          <w:sz w:val="24"/>
        </w:rPr>
        <w:t>B. Doble Factor de Autenticación (MFA TOTP)</w:t>
      </w:r>
    </w:p>
    <w:p>
      <w:pPr>
        <w:pStyle w:val="ListBullet"/>
        <w:spacing w:after="120"/>
      </w:pPr>
      <w:r>
        <w:t xml:space="preserve">Sigue el estándar industrial </w:t>
      </w:r>
      <w:r>
        <w:rPr>
          <w:b/>
        </w:rPr>
        <w:t>RFC 6238 (Time-Based One-Time Password)</w:t>
      </w:r>
      <w:r>
        <w:t>.</w:t>
      </w:r>
    </w:p>
    <w:p>
      <w:pPr>
        <w:pStyle w:val="ListBullet"/>
        <w:spacing w:after="120"/>
      </w:pPr>
      <w:r/>
      <w:r>
        <w:rPr>
          <w:b/>
        </w:rPr>
        <w:t>Setup:</w:t>
      </w:r>
      <w:r>
        <w:t xml:space="preserve"> El servidor genera una clave secreta aleatoria de 32 caracteres (Base32) y la codifica en un código QR. El usuario lo escanea en su móvil.</w:t>
      </w:r>
    </w:p>
    <w:p>
      <w:pPr>
        <w:pStyle w:val="ListBullet"/>
        <w:spacing w:after="120"/>
      </w:pPr>
      <w:r/>
      <w:r>
        <w:rPr>
          <w:b/>
        </w:rPr>
        <w:t>Verificación:</w:t>
      </w:r>
      <w:r>
        <w:t xml:space="preserve"> Cada 30 segundos, el celular genera un token dinámico de 6 dígitos que resulta de aplicar un hash HMAC-SHA1 sobre el tiempo actual y la clave secreta. El servidor realiza el mismo cálculo matemático localmente; si coinciden, autoriza la sesión.</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4. MAPEO METODOLÓGICO: NIST CSF 2.0 Y LEYES CHILENAS</w:t>
      </w:r>
    </w:p>
    <w:p>
      <w:pPr>
        <w:spacing w:after="120"/>
      </w:pPr>
    </w:p>
    <w:p>
      <w:pPr>
        <w:spacing w:after="120"/>
      </w:pPr>
      <w:r>
        <w:t>Este es el núcleo conceptual de tu tesis. Debes demostrar cómo tu software da cumplimiento a los estándares internacionales y a la legislación chilena de infraestructura crítica.</w:t>
      </w:r>
    </w:p>
    <w:p>
      <w:pPr>
        <w:spacing w:after="120"/>
      </w:pPr>
    </w:p>
    <w:p>
      <w:pPr>
        <w:spacing w:before="240" w:after="120"/>
      </w:pPr>
      <w:r>
        <w:rPr>
          <w:b/>
          <w:color w:val="336699"/>
          <w:sz w:val="24"/>
        </w:rPr>
        <w:t>A. Alineamiento con el Marco NIST CSF 2.0</w:t>
      </w:r>
    </w:p>
    <w:p>
      <w:pPr>
        <w:pStyle w:val="ListBullet"/>
        <w:spacing w:after="120"/>
      </w:pPr>
      <w:r/>
      <w:r>
        <w:rPr>
          <w:b/>
        </w:rPr>
        <w:t>IDENTIFICAR (ID.AM):</w:t>
      </w:r>
      <w:r>
        <w:t xml:space="preserve"> Catastro automático de dispositivos de red en base a IP, MAC física y resolución de fabricante OUI (MacVendors).</w:t>
      </w:r>
    </w:p>
    <w:p>
      <w:pPr>
        <w:pStyle w:val="ListBullet"/>
        <w:spacing w:after="120"/>
      </w:pPr>
      <w:r/>
      <w:r>
        <w:rPr>
          <w:b/>
        </w:rPr>
        <w:t>PROTEGER (PR.AT / PR.AC):</w:t>
      </w:r>
      <w:r>
        <w:t xml:space="preserve"> Cierre de puertos vulnerables mediante la descarga de scripts de Hardening personalizados, control de accesos con hash SHA-256 y autenticación multifactor (MFA).</w:t>
      </w:r>
    </w:p>
    <w:p>
      <w:pPr>
        <w:pStyle w:val="ListBullet"/>
        <w:spacing w:after="120"/>
      </w:pPr>
      <w:r/>
      <w:r>
        <w:rPr>
          <w:b/>
        </w:rPr>
        <w:t>DETECTAR (DE.CM):</w:t>
      </w:r>
      <w:r>
        <w:t xml:space="preserve"> Monitoreo asíncrono y continuo en segundo plano cada 3 minutos, alertando anomalías mediante eventos WebSocket instantáneos.</w:t>
      </w:r>
    </w:p>
    <w:p>
      <w:pPr>
        <w:pStyle w:val="ListBullet"/>
        <w:spacing w:after="120"/>
      </w:pPr>
      <w:r/>
      <w:r>
        <w:rPr>
          <w:b/>
        </w:rPr>
        <w:t>RESPONDER (RS.RP):</w:t>
      </w:r>
      <w:r>
        <w:t xml:space="preserve"> Aislamiento perimetral activo bloqueando la IP del intruso en el cortafuegos de Windows (</w:t>
      </w:r>
      <w:r>
        <w:rPr>
          <w:rFonts w:ascii="Consolas" w:hAnsi="Consolas"/>
          <w:color w:val="B40000"/>
          <w:sz w:val="20"/>
        </w:rPr>
        <w:t>netsh</w:t>
      </w:r>
      <w:r>
        <w:t>) o Linux (</w:t>
      </w:r>
      <w:r>
        <w:rPr>
          <w:rFonts w:ascii="Consolas" w:hAnsi="Consolas"/>
          <w:color w:val="B40000"/>
          <w:sz w:val="20"/>
        </w:rPr>
        <w:t>iptables</w:t>
      </w:r>
      <w:r>
        <w:t>).</w:t>
      </w:r>
    </w:p>
    <w:p>
      <w:pPr>
        <w:pStyle w:val="ListBullet"/>
        <w:spacing w:after="120"/>
      </w:pPr>
      <w:r/>
      <w:r>
        <w:rPr>
          <w:b/>
        </w:rPr>
        <w:t>RECUPERAR (RC.RP):</w:t>
      </w:r>
      <w:r>
        <w:t xml:space="preserve"> Planes de remediación paso a paso explicados en lenguaje sencillo para el usuario y reporte de cumplimiento en PDF formal firmable.</w:t>
      </w:r>
    </w:p>
    <w:p>
      <w:pPr>
        <w:spacing w:after="120"/>
      </w:pPr>
    </w:p>
    <w:p>
      <w:pPr>
        <w:spacing w:before="240" w:after="120"/>
      </w:pPr>
      <w:r>
        <w:rPr>
          <w:b/>
          <w:color w:val="336699"/>
          <w:sz w:val="24"/>
        </w:rPr>
        <w:t>B. Cumplimiento con la Ley N° 21.663 (Marco de Ciberseguridad / ANCI)</w:t>
      </w:r>
    </w:p>
    <w:p>
      <w:pPr>
        <w:pStyle w:val="ListBullet"/>
        <w:spacing w:after="120"/>
      </w:pPr>
      <w:r>
        <w:t>La nueva ley exige reportar incidentes cibernéticos graves a la Agencia Nacional de Ciberseguridad (ANCI) en plazos mínimos. PymeShield cumple con esto al exportar bitácoras forenses de auditoría SQLite y enviar JSONs a centrales de gobierno vía Webhooks.</w:t>
      </w:r>
    </w:p>
    <w:p>
      <w:pPr>
        <w:spacing w:after="120"/>
      </w:pPr>
    </w:p>
    <w:p>
      <w:pPr>
        <w:spacing w:before="240" w:after="120"/>
      </w:pPr>
      <w:r>
        <w:rPr>
          <w:b/>
          <w:color w:val="336699"/>
          <w:sz w:val="24"/>
        </w:rPr>
        <w:t>C. Cumplimiento con la Ley N° 21.719 (Protección de Infraestructura Crítica)</w:t>
      </w:r>
    </w:p>
    <w:p>
      <w:pPr>
        <w:pStyle w:val="ListBullet"/>
        <w:spacing w:after="120"/>
      </w:pPr>
      <w:r>
        <w:t>Los consultorios, CESFAM y liceos públicos son considerados ahora infraestructura crítica que debe poseer planes de resiliencia de datos. PymeShield entrega los planes de hardening sugeridos por el CSIRT de Gobierno para mitigar vulnerabilidades como WannaCry (SMB 445) o BlueKeep (RDP 3389).</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5. CARACTERÍSTICAS DE ALTO IMPACTO (WOW FACTORS)</w:t>
      </w:r>
    </w:p>
    <w:p>
      <w:pPr>
        <w:spacing w:after="120"/>
      </w:pPr>
    </w:p>
    <w:p>
      <w:pPr>
        <w:spacing w:after="120"/>
      </w:pPr>
      <w:r>
        <w:t>Diseñadas para generar un fuerte impacto visual y didáctico ante la comisión evaluadora:</w:t>
      </w:r>
    </w:p>
    <w:p>
      <w:pPr>
        <w:spacing w:after="120"/>
      </w:pPr>
    </w:p>
    <w:p>
      <w:pPr>
        <w:pStyle w:val="ListBullet"/>
        <w:spacing w:after="120"/>
      </w:pPr>
      <w:r/>
      <w:r>
        <w:rPr>
          <w:b/>
        </w:rPr>
        <w:t>Mapa de Topología SVG Dinámico:</w:t>
      </w:r>
      <w:r>
        <w:t xml:space="preserve"> Dibuja el Router central y los dispositivos conectados en una órbita elíptica. Utiliza animaciones CSS (</w:t>
      </w:r>
      <w:r>
        <w:rPr>
          <w:rFonts w:ascii="Consolas" w:hAnsi="Consolas"/>
          <w:color w:val="B40000"/>
          <w:sz w:val="20"/>
        </w:rPr>
        <w:t>stroke-dasharray</w:t>
      </w:r>
      <w:r>
        <w:t>) para simular flujos de paquetes de datos activos (verde), sospechosos (amarillo intermitente) o enlaces bloqueados/rotos (rojo con candado).</w:t>
      </w:r>
    </w:p>
    <w:p>
      <w:pPr>
        <w:pStyle w:val="ListBullet"/>
        <w:spacing w:after="120"/>
      </w:pPr>
      <w:r/>
      <w:r>
        <w:rPr>
          <w:b/>
        </w:rPr>
        <w:t>Modo NOC (Network Operations Center):</w:t>
      </w:r>
      <w:r>
        <w:t xml:space="preserve"> Conmuta de forma persistente la interfaz a colores negro puro con bordes rojo neón y verde neón, simulando un panel militar de ciberdefensa táctica.</w:t>
      </w:r>
    </w:p>
    <w:p>
      <w:pPr>
        <w:pStyle w:val="ListBullet"/>
        <w:spacing w:after="120"/>
      </w:pPr>
      <w:r/>
      <w:r>
        <w:rPr>
          <w:b/>
        </w:rPr>
        <w:t>Síntesis Acústica HTML5 Web Audio API:</w:t>
      </w:r>
      <w:r>
        <w:t xml:space="preserve"> Genera sirenas de alerta acústica (</w:t>
      </w:r>
      <w:r>
        <w:rPr>
          <w:rFonts w:ascii="Consolas" w:hAnsi="Consolas"/>
          <w:color w:val="B40000"/>
          <w:sz w:val="20"/>
        </w:rPr>
        <w:t>beep-beep-beep!</w:t>
      </w:r>
      <w:r>
        <w:t>) sintetizando ondas sinusoidales de alta frecuencia (980Hz) de manera directa en el navegador. Esto evita depender de descargas o carga de archivos de audio locales.</w:t>
      </w:r>
    </w:p>
    <w:p>
      <w:pPr>
        <w:pStyle w:val="ListBullet"/>
        <w:spacing w:after="120"/>
      </w:pPr>
      <w:r/>
      <w:r>
        <w:rPr>
          <w:b/>
        </w:rPr>
        <w:t>Explicador CVE Didáctico:</w:t>
      </w:r>
      <w:r>
        <w:t xml:space="preserve"> Traduce las alertas técnicas a español sencillo para el usuario final (Claudia), y añade las referencias CVE oficiales (ej. CVE-2017-0144 para WannaCry) para el personal técnico del CESFAM.</w:t>
      </w:r>
    </w:p>
    <w:p>
      <w:pPr>
        <w:pStyle w:val="ListBullet"/>
        <w:spacing w:after="120"/>
      </w:pPr>
      <w:r/>
      <w:r>
        <w:rPr>
          <w:b/>
        </w:rPr>
        <w:t>Motor de Licenciamiento Integrado (Demo vs Premium):</w:t>
      </w:r>
      <w:r>
        <w:t xml:space="preserve"> Un mecanismo comercial que restringe el monitoreo del mapa a 5 dispositivos y bloquea la descarga de scripts de hardening en la versión de evaluación. Al ingresar una clave corporativa (como </w:t>
      </w:r>
      <w:r>
        <w:rPr>
          <w:rFonts w:ascii="Consolas" w:hAnsi="Consolas"/>
          <w:color w:val="B40000"/>
          <w:sz w:val="20"/>
        </w:rPr>
        <w:t>PYMESHIELD-777-PREMIUM</w:t>
      </w:r>
      <w:r>
        <w:t>), el sistema valida en el backend y desbloquea el 100% de la capacidad de red en vivo, registrando el cambio de licencia en la bitácora de auditoría.</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6. MÓDULOS DE INTEGRACIÓN SOAR / SIEM (WEBHOOKS)</w:t>
      </w:r>
    </w:p>
    <w:p>
      <w:pPr>
        <w:spacing w:after="120"/>
      </w:pPr>
    </w:p>
    <w:p>
      <w:pPr>
        <w:pStyle w:val="ListBullet"/>
        <w:spacing w:after="120"/>
      </w:pPr>
      <w:r/>
      <w:r>
        <w:rPr>
          <w:b/>
        </w:rPr>
        <w:t>¿Qué es un Webhook?</w:t>
      </w:r>
      <w:r>
        <w:t xml:space="preserve"> Es una notificación automática que se envía mediante una petición HTTP POST desde PymeShield hacia un servidor externo en el instante exacto en que ocurre un evento de seguridad.</w:t>
      </w:r>
    </w:p>
    <w:p>
      <w:pPr>
        <w:pStyle w:val="ListBullet"/>
        <w:spacing w:after="120"/>
      </w:pPr>
      <w:r/>
      <w:r>
        <w:rPr>
          <w:b/>
        </w:rPr>
        <w:t>Diferencia técnica con el Polling:</w:t>
      </w:r>
      <w:r>
        <w:t xml:space="preserve"> El Polling requiere que la central esté consultando la base de datos de PymeShield repetidamente. El Webhook realiza un </w:t>
      </w:r>
      <w:r>
        <w:rPr>
          <w:b/>
        </w:rPr>
        <w:t>envío empujado (Push)</w:t>
      </w:r>
      <w:r>
        <w:t xml:space="preserve"> inmediato, ahorrando ancho de banda y reduciendo el tiempo de respuesta a 1 segundo.</w:t>
      </w:r>
    </w:p>
    <w:p>
      <w:pPr>
        <w:pStyle w:val="ListBullet"/>
        <w:spacing w:after="120"/>
      </w:pPr>
      <w:r/>
      <w:r>
        <w:rPr>
          <w:b/>
        </w:rPr>
        <w:t>El Payload JSON:</w:t>
      </w:r>
      <w:r>
        <w:t xml:space="preserve"> PymeShield envía un objeto JSON estructurado con el tipo de alerta, descripción, IP/MAC de origen y severidad. Esto permite que herramientas SOAR (Cortex XSOAR, bots de Slack/Discord) automaticen la creación de incidentes.</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7. ESTRATEGIA DE DESPLIEGUE CON DOCKER</w:t>
      </w:r>
    </w:p>
    <w:p>
      <w:pPr>
        <w:spacing w:after="120"/>
      </w:pPr>
    </w:p>
    <w:p>
      <w:pPr>
        <w:spacing w:after="120"/>
      </w:pPr>
      <w:r>
        <w:t>Un Ingeniero debe justificar cómo empaqueta y despliega la aplicación de forma profesional.</w:t>
      </w:r>
    </w:p>
    <w:p>
      <w:pPr>
        <w:spacing w:after="120"/>
      </w:pPr>
    </w:p>
    <w:p>
      <w:pPr>
        <w:pStyle w:val="ListBullet"/>
        <w:spacing w:after="120"/>
      </w:pPr>
      <w:r/>
      <w:r>
        <w:rPr>
          <w:b/>
        </w:rPr>
        <w:t>El Dockerfile:</w:t>
      </w:r>
      <w:r>
        <w:t xml:space="preserve"> Utiliza una imagen base súper ligera (</w:t>
      </w:r>
      <w:r>
        <w:rPr>
          <w:rFonts w:ascii="Consolas" w:hAnsi="Consolas"/>
          <w:color w:val="B40000"/>
          <w:sz w:val="20"/>
        </w:rPr>
        <w:t>node:20-alpine</w:t>
      </w:r>
      <w:r>
        <w:t xml:space="preserve">) para minimizar el peso del contenedor a menos de 150MB de RAM. Instala de forma interna la herramienta </w:t>
      </w:r>
      <w:r>
        <w:rPr>
          <w:rFonts w:ascii="Consolas" w:hAnsi="Consolas"/>
          <w:color w:val="B40000"/>
          <w:sz w:val="20"/>
        </w:rPr>
        <w:t>nmap</w:t>
      </w:r>
      <w:r>
        <w:t xml:space="preserve"> para que el escaneo funcione en Linux.</w:t>
      </w:r>
    </w:p>
    <w:p>
      <w:pPr>
        <w:pStyle w:val="ListBullet"/>
        <w:spacing w:after="120"/>
      </w:pPr>
      <w:r/>
      <w:r>
        <w:rPr>
          <w:b/>
        </w:rPr>
        <w:t>La diferencia multiplataforma (Clave de Redes):</w:t>
      </w:r>
      <w:r/>
    </w:p>
    <w:p>
      <w:pPr>
        <w:pStyle w:val="ListBullet"/>
        <w:spacing w:after="120"/>
      </w:pPr>
      <w:r/>
      <w:r>
        <w:rPr>
          <w:b/>
        </w:rPr>
        <w:t>En Linux (Producción real):</w:t>
      </w:r>
      <w:r>
        <w:t xml:space="preserve"> Se utiliza </w:t>
      </w:r>
      <w:r>
        <w:rPr>
          <w:rFonts w:ascii="Consolas" w:hAnsi="Consolas"/>
          <w:color w:val="B40000"/>
          <w:sz w:val="20"/>
        </w:rPr>
        <w:t>network_mode: "host"</w:t>
      </w:r>
      <w:r>
        <w:t>. Esto es obligatorio porque permite que el contenedor comparta la interfaz de red física real del servidor para poder enviar pings ARP y descubrir la LAN real del CESFAM/colegio.</w:t>
      </w:r>
    </w:p>
    <w:p>
      <w:pPr>
        <w:pStyle w:val="ListBullet"/>
        <w:spacing w:after="120"/>
      </w:pPr>
      <w:r/>
      <w:r>
        <w:rPr>
          <w:b/>
        </w:rPr>
        <w:t>En Windows/macOS (Desarrollo/Demo):</w:t>
      </w:r>
      <w:r>
        <w:t xml:space="preserve"> Debido a que Docker Desktop corre dentro de una máquina virtual (NAT), </w:t>
      </w:r>
      <w:r>
        <w:rPr>
          <w:rFonts w:ascii="Consolas" w:hAnsi="Consolas"/>
          <w:color w:val="B40000"/>
          <w:sz w:val="20"/>
        </w:rPr>
        <w:t>network_mode: "host"</w:t>
      </w:r>
      <w:r>
        <w:t xml:space="preserve"> no es compatible. Se comenta esa directiva y se activa el mapeo de puertos (</w:t>
      </w:r>
      <w:r>
        <w:rPr>
          <w:rFonts w:ascii="Consolas" w:hAnsi="Consolas"/>
          <w:color w:val="B40000"/>
          <w:sz w:val="20"/>
        </w:rPr>
        <w:t>ports: - "3000:3000"</w:t>
      </w:r>
      <w:r>
        <w:t>), utilizando el "Modo Demostración" de PymeShield para asegurar el éxito visual de la defensa.</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8. BALOTARIO DE PREGUNTAS Y RESPUESTAS DE EXAMEN (7.0)</w:t>
      </w:r>
    </w:p>
    <w:p>
      <w:pPr>
        <w:spacing w:after="120"/>
      </w:pPr>
    </w:p>
    <w:p>
      <w:pPr>
        <w:spacing w:after="120"/>
      </w:pPr>
      <w:r>
        <w:t>Ensaya estas respuestas ante las preguntas más probables de los profesores:</w:t>
      </w:r>
    </w:p>
    <w:p>
      <w:pPr>
        <w:spacing w:after="120"/>
      </w:pPr>
    </w:p>
    <w:p>
      <w:pPr>
        <w:pStyle w:val="ListBullet"/>
        <w:spacing w:after="120"/>
      </w:pPr>
      <w:r/>
      <w:r>
        <w:rPr>
          <w:b/>
        </w:rPr>
        <w:t>P1: ¿Por qué no usaron una base de datos más robusta como PostgreSQL?</w:t>
      </w:r>
      <w:r/>
    </w:p>
    <w:p>
      <w:pPr>
        <w:pStyle w:val="ListBullet"/>
        <w:spacing w:after="120"/>
      </w:pPr>
      <w:r>
        <w:t>*Respuesta:* *"Buscamos optimizar la viabilidad operacional de las PYMEs y colegios. PostgreSQL requiere instalar un motor pesado, configurar servidores de red, usuarios y mantener el servicio activo, lo que consume hardware y requiere un administrador de bases de datos. SQLite es una base de datos local embebida en un solo archivo físico, con cero configuraciones iniciales y consumo mínimo de recursos, ideal para correr en appliances locales de bajo costo como una Raspberry Pi."*</w:t>
      </w:r>
    </w:p>
    <w:p>
      <w:pPr>
        <w:pStyle w:val="ListBullet"/>
        <w:spacing w:after="120"/>
      </w:pPr>
      <w:r/>
      <w:r>
        <w:rPr>
          <w:b/>
        </w:rPr>
        <w:t>P2: Si el sistema de contención (bloqueo) requiere privilegios de Administrador, ¿cómo reacciona PymeShield ante la falta de permisos?</w:t>
      </w:r>
      <w:r/>
    </w:p>
    <w:p>
      <w:pPr>
        <w:pStyle w:val="ListBullet"/>
        <w:spacing w:after="120"/>
      </w:pPr>
      <w:r>
        <w:t>*Respuesta:* *"Para asegurar la resiliencia del software, implementamos un control de excepciones asíncrono (try-catch). Si el servidor no se inició como Administrador, el sistema operativo deniega la inyección de reglas en el firewall. PymeShield captura este error de forma segura, registra el evento técnico en la bitácora y continúa con el bloqueo lógico en la interfaz web para no interrumpir el flujo operacional."*</w:t>
      </w:r>
    </w:p>
    <w:p>
      <w:pPr>
        <w:pStyle w:val="ListBullet"/>
        <w:spacing w:after="120"/>
      </w:pPr>
      <w:r/>
      <w:r>
        <w:rPr>
          <w:b/>
        </w:rPr>
        <w:t>P3: ¿Cómo se asegura que las alertas no se pierdan si se apaga el servidor?</w:t>
      </w:r>
      <w:r/>
    </w:p>
    <w:p>
      <w:pPr>
        <w:pStyle w:val="ListBullet"/>
        <w:spacing w:after="120"/>
      </w:pPr>
      <w:r>
        <w:t>*Respuesta:* *"Toda la bitácora de auditoría y las alertas se persisten de forma permanente en la base de datos local SQLite en disco, y en el caso del contenedor Docker, se protegen utilizando un volumen local (</w:t>
      </w:r>
      <w:r>
        <w:rPr>
          <w:rFonts w:ascii="Consolas" w:hAnsi="Consolas"/>
          <w:color w:val="B40000"/>
          <w:sz w:val="20"/>
        </w:rPr>
        <w:t>db-data</w:t>
      </w:r>
      <w:r>
        <w:t>). Además, las alertas críticas son despachadas de inmediato al exterior mediante Webhooks a una plataforma en la nube, garantizando que el historial de incidentes se conserve en la central SOAR remota."*</w:t>
      </w:r>
    </w:p>
    <w:p>
      <w:pPr>
        <w:pStyle w:val="ListBullet"/>
        <w:spacing w:after="120"/>
      </w:pPr>
      <w:r/>
      <w:r>
        <w:rPr>
          <w:b/>
        </w:rPr>
        <w:t>P4: ¿Cómo maneja PymeShield la viabilidad comercial y la protección del software ante clientes no licenciados?</w:t>
      </w:r>
      <w:r/>
    </w:p>
    <w:p>
      <w:pPr>
        <w:pStyle w:val="ListBullet"/>
        <w:spacing w:after="120"/>
      </w:pPr>
      <w:r>
        <w:t xml:space="preserve">*Respuesta:* *"Para viabilizar la comercialización del producto, implementamos un motor de licenciamiento criptográfico local. Por defecto, PymeShield arranca en 'Modo Demo / Evaluación', lo cual restringe el mapa de topología a un máximo de 5 dispositivos activos y bloquea la descarga de scripts de Hardening. Al ingresar una clave corporativa válida en Ajustes (ej. </w:t>
      </w:r>
      <w:r>
        <w:rPr>
          <w:rFonts w:ascii="Consolas" w:hAnsi="Consolas"/>
          <w:color w:val="B40000"/>
          <w:sz w:val="20"/>
        </w:rPr>
        <w:t>PYMESHIELD-777-PREMIUM</w:t>
      </w:r>
      <w:r>
        <w:t>), el backend la valida, registra la activación de licencia en la bitácora de auditoría y desbloquea el 100% de las funciones empresariales en tiempo real, demostrando un producto comercial listo para el mercado."*</w:t>
      </w:r>
    </w:p>
    <w:p>
      <w:pPr>
        <w:pStyle w:val="ListBullet"/>
        <w:spacing w:after="120"/>
      </w:pPr>
      <w:r/>
      <w:r>
        <w:rPr>
          <w:b/>
        </w:rPr>
        <w:t>P5: ¿Es su aplicación multiplataforma o solo funciona en Windows?</w:t>
      </w:r>
      <w:r/>
    </w:p>
    <w:p>
      <w:pPr>
        <w:pStyle w:val="ListBullet"/>
        <w:spacing w:after="120"/>
      </w:pPr>
      <w:r>
        <w:t>*Respuesta:* *"El núcleo web de PymeShield (Node.js, Express y SQLite) es 100% multiplataforma y puede correr nativamente en Windows, Linux y macOS, incluso empaquetado en contenedores Docker. Sin embargo, los módulos que interactúan directamente con el hardware y el sistema operativo (como la lectura de la caché ARP, el bloqueo de firewall de intrusos y los scripts de hardening) detectan dinámicamente el sistema operativo del host para utilizar los comandos y herramientas de red nativas correspondientes (como netsh en Windows, iptables o ufw en Linux, y pfctl en macOS)."*</w:t>
      </w:r>
    </w:p>
    <w:p>
      <w:pPr>
        <w:pStyle w:val="ListBullet"/>
        <w:spacing w:after="120"/>
      </w:pPr>
      <w:r/>
      <w:r>
        <w:rPr>
          <w:b/>
        </w:rPr>
        <w:t>P6: ¿Cómo está estructurado el directorio de su software PymeShield y qué función cumple cada carpeta principal?</w:t>
      </w:r>
      <w:r/>
    </w:p>
    <w:p>
      <w:pPr>
        <w:pStyle w:val="ListBullet"/>
        <w:spacing w:after="120"/>
      </w:pPr>
      <w:r>
        <w:t>*Respuesta:* *"El directorio está estructurado en 3 subcarpetas y archivos raíz principales. La carpeta node_modules/ contiene las dependencias externas (servidor web Express, encriptación Otplib y WebSockets). La carpeta prisma/ es la capa de persistencia conteniendo schema.prisma (modelo de base de datos) y dev.db (la base de datos SQLite local). La carpeta public/ es el Frontend conteniendo el HTML, el CSS del diseño/Modo NOC y el JavaScript que dibuja la topología en SVG. En la raíz, server.js controla el Backend (sockets, firewall y base de datos) y credenciales.json almacena la configuración de seguridad local."*</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9. GLOSARIO DE CONCEPTOS ADVANCED DE REDES Y CIBERDEFENSA</w:t>
      </w:r>
    </w:p>
    <w:p>
      <w:pPr>
        <w:spacing w:after="120"/>
      </w:pPr>
    </w:p>
    <w:p>
      <w:pPr>
        <w:spacing w:after="120"/>
      </w:pPr>
      <w:r>
        <w:t>Para asegurar que manejes el vocabulario técnico más avanzado ante la comisión evaluadora, repasa estos términos clave implementados en PymeShield:</w:t>
      </w:r>
    </w:p>
    <w:p>
      <w:pPr>
        <w:spacing w:after="120"/>
      </w:pPr>
    </w:p>
    <w:p>
      <w:pPr>
        <w:pStyle w:val="ListBullet"/>
        <w:spacing w:after="120"/>
      </w:pPr>
      <w:r/>
      <w:r>
        <w:rPr>
          <w:b/>
        </w:rPr>
        <w:t>OUI IEEE (Organizationally Unique Identifier / Identificador Único de Organización):</w:t>
      </w:r>
      <w:r/>
    </w:p>
    <w:p>
      <w:pPr>
        <w:pStyle w:val="ListBullet"/>
        <w:spacing w:after="120"/>
      </w:pPr>
      <w:r>
        <w:t>*Definición:* Son los primeros 24 bits (3 octetos) de una dirección MAC física. Son asignados de forma oficial por el IEEE a cada fabricante de tarjetas de interfaz de red (NIC).</w:t>
      </w:r>
    </w:p>
    <w:p>
      <w:pPr>
        <w:pStyle w:val="ListBullet"/>
        <w:spacing w:after="120"/>
      </w:pPr>
      <w:r>
        <w:t xml:space="preserve">*Aplicación en PymeShield:* El software toma la dirección MAC descubierta en el escaneo, extrae sus primeros tres octetos y consulta una tabla local de mapeo OUI (ej. </w:t>
      </w:r>
      <w:r>
        <w:rPr>
          <w:rFonts w:ascii="Consolas" w:hAnsi="Consolas"/>
          <w:color w:val="B40000"/>
          <w:sz w:val="20"/>
        </w:rPr>
        <w:t>00:0C:29</w:t>
      </w:r>
      <w:r>
        <w:t xml:space="preserve"> pertenece a VMware, </w:t>
      </w:r>
      <w:r>
        <w:rPr>
          <w:rFonts w:ascii="Consolas" w:hAnsi="Consolas"/>
          <w:color w:val="B40000"/>
          <w:sz w:val="20"/>
        </w:rPr>
        <w:t>40:8D:5C</w:t>
      </w:r>
      <w:r>
        <w:t xml:space="preserve"> a Apple). Esto nos permite identificar con precisión si el dispositivo conectado es un celular, una impresora, un servidor virtual o un dispositivo IoT, ayudando a catalogar y clasificar los activos dentro del inventario de ciberseguridad.</w:t>
      </w:r>
    </w:p>
    <w:p>
      <w:pPr>
        <w:spacing w:after="120"/>
      </w:pPr>
    </w:p>
    <w:p>
      <w:pPr>
        <w:pStyle w:val="ListBullet"/>
        <w:spacing w:after="120"/>
      </w:pPr>
      <w:r/>
      <w:r>
        <w:rPr>
          <w:b/>
        </w:rPr>
        <w:t>WebSockets (TCP Full-Duplex Persistent Pipelines / Tuberías Persistentes Bidireccionales):</w:t>
      </w:r>
      <w:r/>
    </w:p>
    <w:p>
      <w:pPr>
        <w:pStyle w:val="ListBullet"/>
        <w:spacing w:after="120"/>
      </w:pPr>
      <w:r>
        <w:t>*Definición:* Es un protocolo de comunicación de red basado en TCP que proporciona un canal de comunicación bidireccional simultáneo (full-duplex) sobre una única conexión física de larga duración.</w:t>
      </w:r>
    </w:p>
    <w:p>
      <w:pPr>
        <w:pStyle w:val="ListBullet"/>
        <w:spacing w:after="120"/>
      </w:pPr>
      <w:r>
        <w:t>*Diferencia con HTTP Tradicional:* HTTP es de naturaleza unidireccional y basado en peticiones puntuales del cliente (Request-Response). Si ocurren incidentes en la red, el servidor no tiene forma de enviarlos de forma proactiva al navegador sin técnicas ineficientes como el polling recurrente. WebSockets elimina la latencia y la sobrecarga de cabeceras HTTP, permitiendo que PymeShield actualice la topología SVG y reproduzca las alarmas acústicas en el frontend al microsegundo de que el daemon de backend detecte un ataque.</w:t>
      </w:r>
    </w:p>
    <w:p>
      <w:pPr>
        <w:spacing w:after="120"/>
      </w:pPr>
    </w:p>
    <w:p>
      <w:pPr>
        <w:pStyle w:val="ListBullet"/>
        <w:spacing w:after="120"/>
      </w:pPr>
      <w:r/>
      <w:r>
        <w:rPr>
          <w:b/>
        </w:rPr>
        <w:t>Zero-Trust Network Access (ZTNA) / Network Access Control (NAC):</w:t>
      </w:r>
      <w:r/>
    </w:p>
    <w:p>
      <w:pPr>
        <w:pStyle w:val="ListBullet"/>
        <w:spacing w:after="120"/>
      </w:pPr>
      <w:r>
        <w:t>*Definición:* Filosofías de ciberdefensa basadas en el principio fundamental de "nunca confiar, siempre verificar". El NAC (Control de Acceso a la Red) valida la identidad y postura de seguridad de un host antes de permitirle comunicarse dentro de la red.</w:t>
      </w:r>
    </w:p>
    <w:p>
      <w:pPr>
        <w:pStyle w:val="ListBullet"/>
        <w:spacing w:after="120"/>
      </w:pPr>
      <w:r>
        <w:t>*Aplicación en PymeShield:* Cuando un nuevo host desconocido se conecta a la red LAN (como en los laboratorios de un Liceo, la red de un Colegio, o la red de un CESFAM), el sistema lo clasifica inicialmente como "No Autorizado/Sospechoso" bajo una postura Zero-Trust. Si se activa la directiva de aislamiento, PymeShield ejecuta comandos del sistema operativo local (</w:t>
      </w:r>
      <w:r>
        <w:rPr>
          <w:rFonts w:ascii="Consolas" w:hAnsi="Consolas"/>
          <w:color w:val="B40000"/>
          <w:sz w:val="20"/>
        </w:rPr>
        <w:t>netsh advfirewall</w:t>
      </w:r>
      <w:r>
        <w:t xml:space="preserve"> en Windows / </w:t>
      </w:r>
      <w:r>
        <w:rPr>
          <w:rFonts w:ascii="Consolas" w:hAnsi="Consolas"/>
          <w:color w:val="B40000"/>
          <w:sz w:val="20"/>
        </w:rPr>
        <w:t>iptables</w:t>
      </w:r>
      <w:r>
        <w:t xml:space="preserve"> en Linux) para bloquear su tráfico, conteniendo la amenaza antes de que pueda propagarse lateralmente (movimiento lateral) por la intranet de la institución.</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10. ESTRUCTURA DE COSTOS, PRECIOS Y RETORNO DE INVERSIÓN (ROI)</w:t>
      </w:r>
    </w:p>
    <w:p>
      <w:pPr>
        <w:spacing w:after="120"/>
      </w:pPr>
    </w:p>
    <w:p>
      <w:pPr>
        <w:spacing w:after="120"/>
      </w:pPr>
      <w:r>
        <w:t>La comisión evaluadora esperará una justificación económica que demuestre la viabilidad real del proyecto en el mercado chileno.</w:t>
      </w:r>
    </w:p>
    <w:p>
      <w:pPr>
        <w:spacing w:after="120"/>
      </w:pPr>
    </w:p>
    <w:p>
      <w:pPr>
        <w:spacing w:before="240" w:after="120"/>
      </w:pPr>
      <w:r>
        <w:rPr>
          <w:b/>
          <w:color w:val="336699"/>
          <w:sz w:val="24"/>
        </w:rPr>
        <w:t>A. Costo del Dispositivo Local (Appliance Sensor)</w:t>
      </w:r>
    </w:p>
    <w:p>
      <w:pPr>
        <w:pStyle w:val="ListBullet"/>
        <w:spacing w:after="120"/>
      </w:pPr>
      <w:r/>
      <w:r>
        <w:rPr>
          <w:b/>
        </w:rPr>
        <w:t>El Hardware:</w:t>
      </w:r>
      <w:r>
        <w:t xml:space="preserve"> Para garantizar un funcionamiento 24/7 sin interrumpir los computadores de la institución, PymeShield se distribuye preinstalado en un microcomputador físico (Appliance local como una Raspberry Pi 4/5 de 8GB RAM o un Mini-PC industrial).</w:t>
      </w:r>
    </w:p>
    <w:p>
      <w:pPr>
        <w:pStyle w:val="ListBullet"/>
        <w:spacing w:after="120"/>
      </w:pPr>
      <w:r/>
      <w:r>
        <w:rPr>
          <w:b/>
        </w:rPr>
        <w:t>Costo de Hardware (Inversión Inicial / CAPEX):</w:t>
      </w:r>
      <w:r>
        <w:t xml:space="preserve"> </w:t>
      </w:r>
      <w:r>
        <w:rPr>
          <w:b/>
        </w:rPr>
        <w:t>$350.000 CLP (~$380 USD)</w:t>
      </w:r>
      <w:r>
        <w:t xml:space="preserve"> (pago único). Incluye el dispositivo, memoria microSD de alta velocidad para la base de datos SQLite, fuente de alimentación y horas hombre de soporte técnico para la puesta en marcha física en el rack de comunicaciones del cliente.</w:t>
      </w:r>
    </w:p>
    <w:p>
      <w:pPr>
        <w:spacing w:after="120"/>
      </w:pPr>
    </w:p>
    <w:p>
      <w:pPr>
        <w:spacing w:before="240" w:after="120"/>
      </w:pPr>
      <w:r>
        <w:rPr>
          <w:b/>
          <w:color w:val="336699"/>
          <w:sz w:val="24"/>
        </w:rPr>
        <w:t>B. Planes de Licenciamiento y Soporte Anual (Costo Operacional / OPEX)</w:t>
      </w:r>
    </w:p>
    <w:p>
      <w:pPr>
        <w:spacing w:after="120"/>
      </w:pPr>
      <w:r>
        <w:t>Se definen tres planes comerciales adaptados a los recursos de cada sector objetivo:</w:t>
      </w:r>
    </w:p>
    <w:p>
      <w:pPr>
        <w:spacing w:after="120"/>
      </w:pPr>
      <w:r>
        <w:t xml:space="preserve">1. </w:t>
      </w:r>
      <w:r>
        <w:rPr>
          <w:b/>
        </w:rPr>
        <w:t>Plan PYMEs (SaaS):</w:t>
      </w:r>
      <w:r/>
    </w:p>
    <w:p>
      <w:pPr>
        <w:pStyle w:val="ListBullet"/>
        <w:spacing w:after="120"/>
      </w:pPr>
      <w:r>
        <w:t>*Básico (hasta 15 dispositivos):* $15.000 CLP / mes (~$16 USD).</w:t>
      </w:r>
    </w:p>
    <w:p>
      <w:pPr>
        <w:pStyle w:val="ListBullet"/>
        <w:spacing w:after="120"/>
      </w:pPr>
      <w:r>
        <w:t>*Pro (soporte ilimitado + SOAR Webhooks + Hardening):* $35.000 CLP / mes (~$38 USD).</w:t>
      </w:r>
    </w:p>
    <w:p>
      <w:pPr>
        <w:spacing w:after="120"/>
      </w:pPr>
      <w:r>
        <w:t xml:space="preserve">2. </w:t>
      </w:r>
      <w:r>
        <w:rPr>
          <w:b/>
        </w:rPr>
        <w:t>Plan Establecimientos Educacionales (Colegios y Liceos):</w:t>
      </w:r>
      <w:r/>
    </w:p>
    <w:p>
      <w:pPr>
        <w:pStyle w:val="ListBullet"/>
        <w:spacing w:after="120"/>
      </w:pPr>
      <w:r>
        <w:t xml:space="preserve">*Precio:* </w:t>
      </w:r>
      <w:r>
        <w:rPr>
          <w:b/>
        </w:rPr>
        <w:t>$180.000 CLP / año (~$200 USD)</w:t>
      </w:r>
      <w:r>
        <w:t>. Incluye soporte remoto, actualizaciones de firmas CVE y reportes semestrales firmados de auditoría.</w:t>
      </w:r>
    </w:p>
    <w:p>
      <w:pPr>
        <w:spacing w:after="120"/>
      </w:pPr>
      <w:r>
        <w:t xml:space="preserve">3. </w:t>
      </w:r>
      <w:r>
        <w:rPr>
          <w:b/>
        </w:rPr>
        <w:t>Plan Centros de Salud Familiar (CESFAM):</w:t>
      </w:r>
      <w:r/>
    </w:p>
    <w:p>
      <w:pPr>
        <w:pStyle w:val="ListBullet"/>
        <w:spacing w:after="120"/>
      </w:pPr>
      <w:r>
        <w:t xml:space="preserve">*Precio:* </w:t>
      </w:r>
      <w:r>
        <w:rPr>
          <w:b/>
        </w:rPr>
        <w:t>$360.000 CLP / año (~$400 USD)</w:t>
      </w:r>
      <w:r>
        <w:t xml:space="preserve"> por consultorio. Incluye soporte de incidentes críticos 24/7 y auditoría mensual presencial para garantizar el cumplimiento de la Ley N° 21.719 de infraestructura crítica.</w:t>
      </w:r>
    </w:p>
    <w:p>
      <w:pPr>
        <w:spacing w:after="120"/>
      </w:pPr>
    </w:p>
    <w:p>
      <w:pPr>
        <w:spacing w:before="240" w:after="120"/>
      </w:pPr>
      <w:r>
        <w:rPr>
          <w:b/>
          <w:color w:val="336699"/>
          <w:sz w:val="24"/>
        </w:rPr>
        <w:t>C. Análisis de Retorno de Inversión (ROI) y Ahorro Corporativo</w:t>
      </w:r>
    </w:p>
    <w:p>
      <w:pPr>
        <w:pStyle w:val="ListBullet"/>
        <w:spacing w:after="120"/>
      </w:pPr>
      <w:r/>
      <w:r>
        <w:rPr>
          <w:b/>
        </w:rPr>
        <w:t>Soluciones de Mercado (Fortinet / Cisco / SentinelOne):</w:t>
      </w:r>
      <w:r>
        <w:t xml:space="preserve"> Un firewall de hardware corporativo básico más licenciamiento anual de antivirus perimetral y soporte especializado de un SOC externo supera fácilmente los </w:t>
      </w:r>
      <w:r>
        <w:rPr>
          <w:b/>
        </w:rPr>
        <w:t>$2.500.000 CLP anuales</w:t>
      </w:r>
      <w:r>
        <w:t>.</w:t>
      </w:r>
    </w:p>
    <w:p>
      <w:pPr>
        <w:pStyle w:val="ListBullet"/>
        <w:spacing w:after="120"/>
      </w:pPr>
      <w:r/>
      <w:r>
        <w:rPr>
          <w:b/>
        </w:rPr>
        <w:t>El Ahorro de PymeShield:</w:t>
      </w:r>
      <w:r>
        <w:t xml:space="preserve"> Representa un </w:t>
      </w:r>
      <w:r>
        <w:rPr>
          <w:b/>
        </w:rPr>
        <w:t>ahorro de más del 80%</w:t>
      </w:r>
      <w:r>
        <w:t xml:space="preserve"> en comparación a alternativas comerciales tradicionales.</w:t>
      </w:r>
    </w:p>
    <w:p>
      <w:pPr>
        <w:pStyle w:val="ListBullet"/>
        <w:spacing w:after="120"/>
      </w:pPr>
      <w:r/>
      <w:r>
        <w:rPr>
          <w:b/>
        </w:rPr>
        <w:t>El Argumento del ROI:</w:t>
      </w:r>
      <w:r>
        <w:t xml:space="preserve"> *"Para un colegio municipal o un CESFAM de salud primaria con presupuesto limitado, PymeShield no representa un gasto de capital inalcanzable. Mitigar un solo ataque de Ransomware (como WannaCry) que paralice la entrega de medicamentos o exponga datos médicos ahorra millones en rescates informáticos, multas del gobierno por filtraciones de datos y horas de inactividad operativa, pagando la inversión inicial en el primer mes de uso."*</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11. CONCEPTOS DE REDES AVANZADOS Y SECURIZACIÓN DE LA PLATAFORMA</w:t>
      </w:r>
    </w:p>
    <w:p>
      <w:pPr>
        <w:spacing w:after="120"/>
      </w:pPr>
    </w:p>
    <w:p>
      <w:pPr>
        <w:spacing w:after="120"/>
      </w:pPr>
      <w:r>
        <w:t>Como especialista en ciberseguridad, debes dominar cómo la plataforma interactúa físicamente con la infraestructura de red y cómo se protege a sí misma.</w:t>
      </w:r>
    </w:p>
    <w:p>
      <w:pPr>
        <w:spacing w:after="120"/>
      </w:pPr>
    </w:p>
    <w:p>
      <w:pPr>
        <w:spacing w:before="240" w:after="120"/>
      </w:pPr>
      <w:r>
        <w:rPr>
          <w:b/>
          <w:color w:val="336699"/>
          <w:sz w:val="24"/>
        </w:rPr>
        <w:t>A. Capa 2 vs Capa 3 (El Límite del ARP y Enmascaramiento NAT)</w:t>
      </w:r>
    </w:p>
    <w:p>
      <w:pPr>
        <w:pStyle w:val="ListBullet"/>
        <w:spacing w:after="120"/>
      </w:pPr>
      <w:r/>
      <w:r>
        <w:rPr>
          <w:b/>
        </w:rPr>
        <w:t>El Límite Físico:</w:t>
      </w:r>
      <w:r>
        <w:t xml:space="preserve"> PymeShield requiere ser instalado localmente en la intranet del cliente. El motor de escaneo de red consulta la tabla ARP para asociar direcciones IP a direcciones MAC físicas reales.</w:t>
      </w:r>
    </w:p>
    <w:p>
      <w:pPr>
        <w:pStyle w:val="ListBullet"/>
        <w:spacing w:after="120"/>
      </w:pPr>
      <w:r/>
      <w:r>
        <w:rPr>
          <w:b/>
        </w:rPr>
        <w:t>El Porqué:</w:t>
      </w:r>
      <w:r>
        <w:t xml:space="preserve"> El protocolo ARP opera en la </w:t>
      </w:r>
      <w:r>
        <w:rPr>
          <w:b/>
        </w:rPr>
        <w:t>Capa 2 (Enlace de Datos)</w:t>
      </w:r>
      <w:r>
        <w:t xml:space="preserve"> y se basa en difusiones (Broadcast). Las fronteras de </w:t>
      </w:r>
      <w:r>
        <w:rPr>
          <w:b/>
        </w:rPr>
        <w:t>Capa 3 (Routers/NAT Gateways)</w:t>
      </w:r>
      <w:r>
        <w:t xml:space="preserve"> bloquean tráficos de Broadcast. Si PymeShield estuviera en la nube, el router local traduciría (enmascararía) todo el tráfico tras una única IP pública y MAC externa, haciendo imposible inventariar los hosts locales de forma individual.</w:t>
      </w:r>
    </w:p>
    <w:p>
      <w:pPr>
        <w:spacing w:after="120"/>
      </w:pPr>
    </w:p>
    <w:p>
      <w:pPr>
        <w:spacing w:before="240" w:after="120"/>
      </w:pPr>
      <w:r>
        <w:rPr>
          <w:b/>
          <w:color w:val="336699"/>
          <w:sz w:val="24"/>
        </w:rPr>
        <w:t>B. Segmentación de Zonas y Enlaces Troncales (VLAN Trunking 802.1Q)</w:t>
      </w:r>
    </w:p>
    <w:p>
      <w:pPr>
        <w:pStyle w:val="ListBullet"/>
        <w:spacing w:after="120"/>
      </w:pPr>
      <w:r/>
      <w:r>
        <w:rPr>
          <w:b/>
        </w:rPr>
        <w:t>Zonas de Red:</w:t>
      </w:r>
      <w:r>
        <w:t xml:space="preserve"> En entornos como colegios o centros médicos, la red se segmenta para seguridad: VLAN de Administración, VLAN de Fichas Médicas y VLAN de Invitados (Wi-Fi libre).</w:t>
      </w:r>
    </w:p>
    <w:p>
      <w:pPr>
        <w:pStyle w:val="ListBullet"/>
        <w:spacing w:after="120"/>
      </w:pPr>
      <w:r/>
      <w:r>
        <w:rPr>
          <w:b/>
        </w:rPr>
        <w:t>El Monitoreo:</w:t>
      </w:r>
      <w:r>
        <w:t xml:space="preserve"> PymeShield se conecta al switch central en un puerto configurado como </w:t>
      </w:r>
      <w:r>
        <w:rPr>
          <w:b/>
        </w:rPr>
        <w:t>Enlace Troncal (Trunk port / estándar IEEE 802.1Q)</w:t>
      </w:r>
      <w:r>
        <w:t>. De esta forma, el software levanta subinterfaces de red virtuales etiquetadas y escanea simultáneamente todas las VLANs, auditando la seguridad general sin romper la segmentación física de seguridad de las zonas.</w:t>
      </w:r>
    </w:p>
    <w:p>
      <w:pPr>
        <w:spacing w:after="120"/>
      </w:pPr>
    </w:p>
    <w:p>
      <w:pPr>
        <w:spacing w:before="240" w:after="120"/>
      </w:pPr>
      <w:r>
        <w:rPr>
          <w:b/>
          <w:color w:val="336699"/>
          <w:sz w:val="24"/>
        </w:rPr>
        <w:t>C. Directivas de Hardening de la Plataforma</w:t>
      </w:r>
    </w:p>
    <w:p>
      <w:pPr>
        <w:spacing w:after="120"/>
      </w:pPr>
      <w:r>
        <w:t>PymeShield opera con permisos elevados en el host local para bloquear tráficos y añadir reglas de firewall, por lo que es un objetivo prioritario. Se protege mediante:</w:t>
      </w:r>
    </w:p>
    <w:p>
      <w:pPr>
        <w:spacing w:after="120"/>
      </w:pPr>
      <w:r>
        <w:t xml:space="preserve">1. </w:t>
      </w:r>
      <w:r>
        <w:rPr>
          <w:b/>
        </w:rPr>
        <w:t>Cifrado en Tránsito (HTTPS/WSS):</w:t>
      </w:r>
      <w:r>
        <w:t xml:space="preserve"> Integración de un Proxy Inverso (como Nginx) para cifrar todo el canal web HTTP (3000) y WebSockets (WS), mitigando sniffing y ataques Man-in-the-Middle.</w:t>
      </w:r>
    </w:p>
    <w:p>
      <w:pPr>
        <w:spacing w:after="120"/>
      </w:pPr>
      <w:r>
        <w:t xml:space="preserve">2. </w:t>
      </w:r>
      <w:r>
        <w:rPr>
          <w:b/>
        </w:rPr>
        <w:t>Doble Factor de Autenticación (MFA TOTP):</w:t>
      </w:r>
      <w:r>
        <w:t xml:space="preserve"> Protege el panel contra robo de contraseñas mediante códigos dinámicos basados en tiempo bajo estándar RFC 6238.</w:t>
      </w:r>
    </w:p>
    <w:p>
      <w:pPr>
        <w:spacing w:after="120"/>
      </w:pPr>
      <w:r>
        <w:t xml:space="preserve">3. </w:t>
      </w:r>
      <w:r>
        <w:rPr>
          <w:b/>
        </w:rPr>
        <w:t>Hardening del Host:</w:t>
      </w:r>
      <w:r>
        <w:t xml:space="preserve"> Desactivación de inicios SSH basados en contraseñas simples, forzando la autenticación exclusiva por llaves criptográficas SSH (llave pública/privada).</w:t>
      </w:r>
    </w:p>
    <w:p>
      <w:pPr>
        <w:spacing w:after="120"/>
      </w:pPr>
    </w:p>
    <w:p>
      <w:pPr>
        <w:spacing w:after="240"/>
        <w:jc w:val="center"/>
      </w:pPr>
      <w:r>
        <w:rPr>
          <w:color w:val="BEBEBE"/>
        </w:rPr>
        <w:t>____________________________________________________</w:t>
      </w:r>
    </w:p>
    <w:p>
      <w:pPr>
        <w:spacing w:after="120"/>
      </w:pPr>
    </w:p>
    <w:p>
      <w:pPr>
        <w:spacing w:before="360" w:after="160"/>
      </w:pPr>
      <w:r>
        <w:rPr>
          <w:b/>
          <w:color w:val="003366"/>
          <w:sz w:val="28"/>
        </w:rPr>
        <w:t>12. ESTRUCTURA DEL DIRECTORIO DEL PROYECTO (MAPA DE CARPETAS)</w:t>
      </w:r>
    </w:p>
    <w:p>
      <w:pPr>
        <w:spacing w:after="120"/>
      </w:pPr>
    </w:p>
    <w:p>
      <w:pPr>
        <w:spacing w:after="120"/>
      </w:pPr>
      <w:r>
        <w:t>Es vital entender qué contiene cada carpeta del proyecto PymeShield de cara a la defensa del software:</w:t>
      </w:r>
    </w:p>
    <w:p>
      <w:pPr>
        <w:spacing w:after="120"/>
      </w:pPr>
    </w:p>
    <w:p>
      <w:pPr>
        <w:pStyle w:val="ListBullet"/>
        <w:spacing w:after="120"/>
      </w:pPr>
      <w:r/>
      <w:r>
        <w:rPr>
          <w:b/>
        </w:rPr>
        <w:t>node_modules/</w:t>
      </w:r>
      <w:r>
        <w:t>: Contiene todas las dependencias y librerías externas de Node.js instaladas por npm (como Express para el servidor, Prisma para la base de datos, Otplib para TOTP, QRCode para los códigos QR, PDFKit para generar reportes y WS para WebSockets de alertas).</w:t>
      </w:r>
    </w:p>
    <w:p>
      <w:pPr>
        <w:pStyle w:val="ListBullet"/>
        <w:spacing w:after="120"/>
      </w:pPr>
      <w:r/>
      <w:r>
        <w:rPr>
          <w:b/>
        </w:rPr>
        <w:t>prisma/</w:t>
      </w:r>
      <w:r>
        <w:t xml:space="preserve">: Contiene el motor de persistencia. Incluye </w:t>
      </w:r>
      <w:r>
        <w:rPr>
          <w:rFonts w:ascii="Consolas" w:hAnsi="Consolas"/>
          <w:color w:val="B40000"/>
          <w:sz w:val="20"/>
        </w:rPr>
        <w:t>schema.prisma</w:t>
      </w:r>
      <w:r>
        <w:t xml:space="preserve"> (donde se definen las tablas de base de datos Device, Port, Alert, AuditLog y Recommendation) y </w:t>
      </w:r>
      <w:r>
        <w:rPr>
          <w:rFonts w:ascii="Consolas" w:hAnsi="Consolas"/>
          <w:color w:val="B40000"/>
          <w:sz w:val="20"/>
        </w:rPr>
        <w:t>dev.db</w:t>
      </w:r>
      <w:r>
        <w:t xml:space="preserve"> (el archivo físico de base de datos SQLite local donde se guarda toda la información sincronizada).</w:t>
      </w:r>
    </w:p>
    <w:p>
      <w:pPr>
        <w:pStyle w:val="ListBullet"/>
        <w:spacing w:after="120"/>
      </w:pPr>
      <w:r/>
      <w:r>
        <w:rPr>
          <w:b/>
        </w:rPr>
        <w:t>public/</w:t>
      </w:r>
      <w:r>
        <w:t xml:space="preserve">: Contiene todos los archivos del cliente (Frontend). Incluye </w:t>
      </w:r>
      <w:r>
        <w:rPr>
          <w:rFonts w:ascii="Consolas" w:hAnsi="Consolas"/>
          <w:color w:val="B40000"/>
          <w:sz w:val="20"/>
        </w:rPr>
        <w:t>index.html</w:t>
      </w:r>
      <w:r>
        <w:t xml:space="preserve"> (la estructura del panel), </w:t>
      </w:r>
      <w:r>
        <w:rPr>
          <w:rFonts w:ascii="Consolas" w:hAnsi="Consolas"/>
          <w:color w:val="B40000"/>
          <w:sz w:val="20"/>
        </w:rPr>
        <w:t>style.css</w:t>
      </w:r>
      <w:r>
        <w:t xml:space="preserve"> (los estilos visuales, Modo NOC y animaciones), </w:t>
      </w:r>
      <w:r>
        <w:rPr>
          <w:rFonts w:ascii="Consolas" w:hAnsi="Consolas"/>
          <w:color w:val="B40000"/>
          <w:sz w:val="20"/>
        </w:rPr>
        <w:t>app.js</w:t>
      </w:r>
      <w:r>
        <w:t xml:space="preserve"> (el cerebro del navegador que dibuja el mapa SVG y procesa las llamadas de APIs) y </w:t>
      </w:r>
      <w:r>
        <w:rPr>
          <w:rFonts w:ascii="Consolas" w:hAnsi="Consolas"/>
          <w:color w:val="B40000"/>
          <w:sz w:val="20"/>
        </w:rPr>
        <w:t>logo.png</w:t>
      </w:r>
      <w:r>
        <w:t xml:space="preserve"> (el logotipo corporativo).</w:t>
      </w:r>
    </w:p>
    <w:p>
      <w:pPr>
        <w:pStyle w:val="ListBullet"/>
        <w:spacing w:after="120"/>
      </w:pPr>
      <w:r/>
      <w:r>
        <w:rPr>
          <w:b/>
        </w:rPr>
        <w:t>server.js</w:t>
      </w:r>
      <w:r>
        <w:t>: El punto de entrada principal del Backend de PymeShield. Inicia el servidor, define las rutas de las APIs, ejecuta el escaneo de red por UDP y realiza las peticiones a la base de datos SQLite.</w:t>
      </w:r>
    </w:p>
    <w:p>
      <w:pPr>
        <w:pStyle w:val="ListBullet"/>
        <w:spacing w:after="120"/>
      </w:pPr>
      <w:r/>
      <w:r>
        <w:rPr>
          <w:b/>
        </w:rPr>
        <w:t>credenciales.json</w:t>
      </w:r>
      <w:r>
        <w:t>: Almacena los ajustes administrativos del sistema (el hash SHA-256 de la contraseña, el secreto Base32 de la MFA, la URL del webhook SOAR y el estado de la directiva Zero-Trust).</w:t>
      </w:r>
    </w:p>
    <w:p>
      <w:pPr>
        <w:pStyle w:val="ListBullet"/>
        <w:spacing w:after="120"/>
      </w:pPr>
      <w:r/>
      <w:r>
        <w:rPr>
          <w:b/>
        </w:rPr>
        <w:t>package.json y package-lock.json</w:t>
      </w:r>
      <w:r>
        <w:t>: Archivos de configuración de Node.js donde se listan las dependencias del proyecto, autoría, scripts de inicio y versiones bloqueadas.</w:t>
      </w:r>
    </w:p>
    <w:p>
      <w:pPr>
        <w:pStyle w:val="ListBullet"/>
        <w:spacing w:after="120"/>
      </w:pPr>
      <w:r/>
      <w:r>
        <w:rPr>
          <w:b/>
        </w:rPr>
        <w:t>node-v20.11.0-x64.msi</w:t>
      </w:r>
      <w:r>
        <w:t>: El instalador offline oficial de Node.js para Windows x64 de 64 bits.</w:t>
      </w:r>
    </w:p>
    <w:p>
      <w:pPr>
        <w:pStyle w:val="ListBullet"/>
        <w:spacing w:after="120"/>
      </w:pPr>
      <w:r/>
      <w:r>
        <w:rPr>
          <w:b/>
        </w:rPr>
        <w:t>pymeshield.ico</w:t>
      </w:r>
      <w:r>
        <w:t>: Ícono en alta resolución de PymeShield utilizado para asociarlo de forma automática al acceso directo del Escritorio.</w:t>
      </w:r>
    </w:p>
    <w:p>
      <w:pPr>
        <w:pStyle w:val="ListBullet"/>
        <w:spacing w:after="120"/>
      </w:pPr>
      <w:r/>
      <w:r>
        <w:rPr>
          <w:b/>
        </w:rPr>
        <w:t>Instalar_PymeShield.bat e Iniciar_PymeShield.bat</w:t>
      </w:r>
      <w:r>
        <w:t>: Scripts de un solo clic para instalar Node.js offline, levantar dependencias y base de datos (Instalar), e iniciar el servidor limpiando el puerto 3000 y abriendo el navegador (Iniciar).</w:t>
      </w:r>
    </w:p>
    <w:p>
      <w:pPr>
        <w:spacing w:after="120"/>
      </w:pPr>
    </w:p>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