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color w:val="26890D"/>
        </w:rPr>
        <w:t>Business Performance &amp; Strategic Risk Report</w:t>
      </w:r>
    </w:p>
    <w:p>
      <w:pPr>
        <w:pStyle w:val="Heading3"/>
      </w:pPr>
      <w:r>
        <w:rPr>
          <w:rFonts w:ascii="Arial" w:hAnsi="Arial"/>
          <w:color w:val="26890D"/>
        </w:rPr>
        <w:t>Sneaker Brand — Full-Period Analysis (January 2021 – April 2023)</w:t>
      </w:r>
    </w:p>
    <w:p/>
    <w:p>
      <w:pPr>
        <w:pStyle w:val="Heading2"/>
      </w:pPr>
      <w:r>
        <w:rPr>
          <w:rFonts w:ascii="Arial" w:hAnsi="Arial"/>
          <w:color w:val="26890D"/>
        </w:rPr>
        <w:t>Executive Summary</w:t>
      </w:r>
    </w:p>
    <w:p>
      <w:r>
        <w:t>This report presents a comprehensive analysis of the company's revenue dynamics, product portfolio, wholesale channel economics, and forward risk profile across the full observable period from January 2021 through April 2023. The following findings represent the highest-priority strategic conclusions from the data.</w:t>
      </w:r>
    </w:p>
    <w:p/>
    <w:p>
      <w:r/>
      <w:r>
        <w:rPr>
          <w:b/>
        </w:rPr>
        <w:t>Revenue growth is real but almost entirely volume-driven, with no pricing power.</w:t>
      </w:r>
      <w:r>
        <w:t xml:space="preserve"> Total company revenue has grown from €16.7m in FY2021 to €32.8m in FY2022 and an LTM run-rate of ~€36.1m — a two-year CAGR of approximately 39%. However, 92.6% of FY2021→FY2022 growth and 102.5% of the LTM growth increment are attributable to volume expansion. Average selling prices are compressing, not expanding. The business is scaling through distribution reach and SKU proliferation, not through pricing power or product premiumisation. *(see Section 1: Total Revenue Growth and Channel Economics)*</w:t>
      </w:r>
    </w:p>
    <w:p>
      <w:r/>
      <w:r>
        <w:rPr>
          <w:b/>
        </w:rPr>
        <w:t>The growth engine is structurally dependent on continuous New Entrant model launches, and most of those models decay within three months of peak.</w:t>
      </w:r>
      <w:r>
        <w:t xml:space="preserve"> New Entrant (NE) models — defined as SKUs with no revenue history in prior periods — represent 50–55% of LTM23 revenue, up from negligible levels in FY2021. Post-peak revenue retention for the average NE model collapses to 45% at one month, 26% at three months, and 17% at six months after peak. Only 18.6% of NE models qualify as "Durable" (retaining ≥40% of peak revenue at three months). The business is therefore running a continuous product substitution model: as each NE cohort decays, it must be replaced by fresh launches. *(see Section 3: New Entrant Model Lifecycle and Durability)*</w:t>
      </w:r>
    </w:p>
    <w:p>
      <w:r/>
      <w:r>
        <w:rPr>
          <w:b/>
        </w:rPr>
        <w:t>Wholesale is the dominant channel and its like-for-like growth has stalled.</w:t>
      </w:r>
      <w:r>
        <w:t xml:space="preserve"> Wholesale accounts for 59–65% of total revenue across all periods. The FY2021→FY2022 wholesale expansion of +84.6% was high-quality: returning clients alone grew +62.1% organically. By LTM23, that same returning-client base has contracted –1.6% like-for-like. All reported LTM23 wholesale growth is attributable to new client acquisition, and average revenue per new wholesale client has declined 24% from €6.9k to €5.2k, indicating the pipeline is drawing in smaller, lower-quality accounts. *(see Section 4: Wholesale Channel Dynamics and Client Cohort Quality)*</w:t>
      </w:r>
    </w:p>
    <w:p>
      <w:r/>
      <w:r>
        <w:rPr>
          <w:b/>
        </w:rPr>
        <w:t>Nearly half of returning wholesale client revenue is at immediate forward risk from product lifecycle decay.</w:t>
      </w:r>
      <w:r>
        <w:t xml:space="preserve"> Of the €16.73m generated by returning wholesale clients in LTM23, €9.84m (58.8%) is sourced from NE models. Of that NE-dependent revenue, 80.1% — or €7.83m — rests on Transient NE models (models with sub-40% retention at three months post-peak). This represents 46.8% of total returning-client wholesale revenue that is exposed to rapid erosion as these models age off their peak curves. The "safe" NE base — Durable models — underpins only €1.14m across just six models. *(see Section 5: Product Lifecycle Risk Within the Wholesale Client Base)*</w:t>
      </w:r>
    </w:p>
    <w:p>
      <w:r/>
      <w:r>
        <w:rPr>
          <w:b/>
        </w:rPr>
        <w:t>The retail channel represents a major strategic shift: the company has expanded its own-store network from 4 to 63 directly operated locations.</w:t>
      </w:r>
      <w:r>
        <w:t xml:space="preserve"> Retail revenue has grown from €1.1m (FY2021) to €6.9m (LTM23), a CAGR of approximately 140%. Average order value per store has compressed from €1,091 to €373, consistent with a network dominated by newer, ramping-up stores rather than mature units. The mix of newer versus mature stores is the primary driver of current AOV dilution; as the network seasons, per-store productivity is expected to converge upward. *(see Section 2: Channel Architecture and Direct-to-Consumer Expansion)*</w:t>
      </w:r>
    </w:p>
    <w:p>
      <w:r/>
      <w:r>
        <w:rPr>
          <w:b/>
        </w:rPr>
        <w:t>Wholesale client concentration is moderate and declining — but the top decile is disproportionately important.</w:t>
      </w:r>
      <w:r>
        <w:t xml:space="preserve"> The Herfindahl-Hirschman Index has declined from 0.0140 (FY2021) to 0.0106 (LTM23), confirming no catastrophic single-client dependency. However, the top 10% of wholesale clients (169 accounts) generate 69% of wholesale revenue (€14.78m). Among the top 20 accounts, the bifurcation between growing and declining clients maps directly onto product basket composition: growing accounts average 45.7% Stable model revenue; declining accounts average only 29.9% Stable and 69.9% NE exposure. *(see Section 4: Wholesale Channel Dynamics and Client Cohort Quality)*</w:t>
      </w:r>
    </w:p>
    <w:p>
      <w:r/>
      <w:r>
        <w:rPr>
          <w:b/>
        </w:rPr>
        <w:t>No reliable predictor of NE model durability has been identified, making forward planning inherently uncertain.</w:t>
      </w:r>
      <w:r>
        <w:t xml:space="preserve"> Neither launch price (r = –0.087) nor launch-month sales velocity (r = +0.119) meaningfully predicts which NE models will sustain demand. Counter-intuitively, the lowest-ASP quartile (average €23) produces the highest Durable rate (36%), while the highest-ASP quartile (average €60) yields only 16.7%. The launch pipeline is also decelerating: only 3 new Entry-tier NE models were introduced in LTM23 versus 32 in FY2022, creating a potential forward revenue gap if the current NE cohort follows historical decay trajectories without replacement. *(see Section 3: New Entrant Model Lifecycle and Durability)*</w:t>
      </w:r>
    </w:p>
    <w:p/>
    <w:p>
      <w:pPr>
        <w:pStyle w:val="Heading2"/>
      </w:pPr>
      <w:r>
        <w:rPr>
          <w:rFonts w:ascii="Arial" w:hAnsi="Arial"/>
          <w:color w:val="26890D"/>
        </w:rPr>
        <w:t>Section 1: Total Revenue Growth and Channel Economics</w:t>
      </w:r>
    </w:p>
    <w:p>
      <w:pPr>
        <w:pStyle w:val="Heading3"/>
      </w:pPr>
      <w:r>
        <w:rPr>
          <w:rFonts w:ascii="Arial" w:hAnsi="Arial"/>
          <w:color w:val="26890D"/>
        </w:rPr>
        <w:t>1.1 Company-Level Revenue Trajectory</w:t>
      </w:r>
    </w:p>
    <w:p>
      <w:r/>
      <w:r>
        <w:rPr>
          <w:b/>
        </w:rPr>
        <w:t>Basis of Preparation.</w:t>
      </w:r>
      <w:r>
        <w:t xml:space="preserve"> Total net revenue was aggregated from the Venta Netas column across all 77,610 transaction rows for three defined periods: FY2021 (January–December 2021), FY2022 (January–December 2022), and LTM23 (the twelve months ending April 2023, i.e. May 2022–April 2023). A parallel prior LTM window (PLTM22: May 2021–April 2022, €21.76m) was constructed to enable like-for-like YoY comparisons. The CAGR was computed over the 2.25-year span from start-of-FY2021 to LTM23 annualised. All figures are net of returns and adjustments as recorded in the source data.</w:t>
      </w:r>
    </w:p>
    <w:p>
      <w:r>
        <w:t>The company has delivered strong top-line growth across the observable period, with total net revenue expanding from €16.7m in FY2021 to €32.8m in FY2022, representing a year-on-year increase of +96.5%. The LTM23 run-rate of €36.1m implies continued expansion, though the pace of year-on-year growth has moderated as the base effect from FY2021 normalises. The CAGR across the full 2.25-year window stands at approximately +39%, a high growth rate by any benchmark but one that must be contextualised against its structural drivers.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Period</w:t>
            </w:r>
          </w:p>
        </w:tc>
        <w:tc>
          <w:tcPr>
            <w:tcW w:type="dxa" w:w="3120"/>
            <w:shd w:val="clear" w:color="auto" w:fill="046A38"/>
          </w:tcPr>
          <w:p>
            <w:r>
              <w:rPr>
                <w:b/>
                <w:color w:val="FFFFFF"/>
              </w:rPr>
            </w:r>
            <w:r>
              <w:rPr>
                <w:rFonts w:ascii="Arial" w:hAnsi="Arial"/>
                <w:b/>
                <w:color w:val="FFFFFF"/>
                <w:sz w:val="20"/>
              </w:rPr>
              <w:t>Revenue</w:t>
            </w:r>
          </w:p>
        </w:tc>
        <w:tc>
          <w:tcPr>
            <w:tcW w:type="dxa" w:w="3120"/>
            <w:shd w:val="clear" w:color="auto" w:fill="046A38"/>
          </w:tcPr>
          <w:p>
            <w:r>
              <w:rPr>
                <w:b/>
                <w:color w:val="FFFFFF"/>
              </w:rPr>
            </w:r>
            <w:r>
              <w:rPr>
                <w:rFonts w:ascii="Arial" w:hAnsi="Arial"/>
                <w:b/>
                <w:color w:val="FFFFFF"/>
                <w:sz w:val="20"/>
              </w:rPr>
              <w:t>YoY Growth</w:t>
            </w:r>
          </w:p>
        </w:tc>
      </w:tr>
      <w:tr>
        <w:tc>
          <w:tcPr>
            <w:tcW w:type="dxa" w:w="3120"/>
          </w:tcPr>
          <w:p>
            <w:r/>
            <w:r>
              <w:rPr>
                <w:rFonts w:ascii="Arial" w:hAnsi="Arial"/>
                <w:sz w:val="20"/>
              </w:rPr>
              <w:t>FY2021</w:t>
            </w:r>
          </w:p>
        </w:tc>
        <w:tc>
          <w:tcPr>
            <w:tcW w:type="dxa" w:w="3120"/>
          </w:tcPr>
          <w:p>
            <w:r/>
            <w:r>
              <w:rPr>
                <w:rFonts w:ascii="Arial" w:hAnsi="Arial"/>
                <w:sz w:val="20"/>
              </w:rPr>
              <w:t>€16.7m</w:t>
            </w:r>
          </w:p>
        </w:tc>
        <w:tc>
          <w:tcPr>
            <w:tcW w:type="dxa" w:w="3120"/>
          </w:tcPr>
          <w:p>
            <w:r/>
            <w:r>
              <w:rPr>
                <w:rFonts w:ascii="Arial" w:hAnsi="Arial"/>
                <w:sz w:val="20"/>
              </w:rPr>
              <w:t>—</w:t>
            </w:r>
          </w:p>
        </w:tc>
      </w:tr>
      <w:tr>
        <w:tc>
          <w:tcPr>
            <w:tcW w:type="dxa" w:w="3120"/>
          </w:tcPr>
          <w:p>
            <w:r/>
            <w:r>
              <w:rPr>
                <w:rFonts w:ascii="Arial" w:hAnsi="Arial"/>
                <w:sz w:val="20"/>
              </w:rPr>
              <w:t>FY2022</w:t>
            </w:r>
          </w:p>
        </w:tc>
        <w:tc>
          <w:tcPr>
            <w:tcW w:type="dxa" w:w="3120"/>
          </w:tcPr>
          <w:p>
            <w:r/>
            <w:r>
              <w:rPr>
                <w:rFonts w:ascii="Arial" w:hAnsi="Arial"/>
                <w:sz w:val="20"/>
              </w:rPr>
              <w:t>€32.8m</w:t>
            </w:r>
          </w:p>
        </w:tc>
        <w:tc>
          <w:tcPr>
            <w:tcW w:type="dxa" w:w="3120"/>
          </w:tcPr>
          <w:p>
            <w:r/>
            <w:r>
              <w:rPr>
                <w:rFonts w:ascii="Arial" w:hAnsi="Arial"/>
                <w:sz w:val="20"/>
              </w:rPr>
              <w:t>+96.5%</w:t>
            </w:r>
          </w:p>
        </w:tc>
      </w:tr>
      <w:tr>
        <w:tc>
          <w:tcPr>
            <w:tcW w:type="dxa" w:w="3120"/>
          </w:tcPr>
          <w:p>
            <w:r/>
            <w:r>
              <w:rPr>
                <w:rFonts w:ascii="Arial" w:hAnsi="Arial"/>
                <w:sz w:val="20"/>
              </w:rPr>
              <w:t>LTM23</w:t>
            </w:r>
          </w:p>
        </w:tc>
        <w:tc>
          <w:tcPr>
            <w:tcW w:type="dxa" w:w="3120"/>
          </w:tcPr>
          <w:p>
            <w:r/>
            <w:r>
              <w:rPr>
                <w:rFonts w:ascii="Arial" w:hAnsi="Arial"/>
                <w:sz w:val="20"/>
              </w:rPr>
              <w:t>€36.1m</w:t>
            </w:r>
          </w:p>
        </w:tc>
        <w:tc>
          <w:tcPr>
            <w:tcW w:type="dxa" w:w="3120"/>
          </w:tcPr>
          <w:p>
            <w:r/>
            <w:r>
              <w:rPr>
                <w:rFonts w:ascii="Arial" w:hAnsi="Arial"/>
                <w:sz w:val="20"/>
              </w:rPr>
              <w:t>+65.9% vs LTM22</w:t>
            </w:r>
          </w:p>
        </w:tc>
      </w:tr>
      <w:tr>
        <w:tc>
          <w:tcPr>
            <w:tcW w:type="dxa" w:w="3120"/>
          </w:tcPr>
          <w:p>
            <w:r/>
            <w:r>
              <w:rPr>
                <w:rFonts w:ascii="Arial" w:hAnsi="Arial"/>
                <w:sz w:val="20"/>
              </w:rPr>
              <w:t>CAGR (2.25y)</w:t>
            </w:r>
          </w:p>
        </w:tc>
        <w:tc>
          <w:tcPr>
            <w:tcW w:type="dxa" w:w="3120"/>
          </w:tcPr>
          <w:p>
            <w:r/>
            <w:r>
              <w:rPr>
                <w:rFonts w:ascii="Arial" w:hAnsi="Arial"/>
                <w:sz w:val="20"/>
              </w:rPr>
              <w:t>~39%</w:t>
            </w:r>
          </w:p>
        </w:tc>
        <w:tc>
          <w:tcPr>
            <w:tcW w:type="dxa" w:w="3120"/>
          </w:tcPr>
          <w:p>
            <w:r/>
            <w:r>
              <w:rPr>
                <w:rFonts w:ascii="Arial" w:hAnsi="Arial"/>
                <w:sz w:val="20"/>
              </w:rPr>
            </w:r>
          </w:p>
        </w:tc>
      </w:tr>
    </w:tbl>
    <w:p/>
    <w:p>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iter1_revenue_by_year.png"/>
                    <pic:cNvPicPr/>
                  </pic:nvPicPr>
                  <pic:blipFill>
                    <a:blip r:embed="rId9"/>
                    <a:stretch>
                      <a:fillRect/>
                    </a:stretch>
                  </pic:blipFill>
                  <pic:spPr>
                    <a:xfrm>
                      <a:off x="0" y="0"/>
                      <a:ext cx="5486400" cy="3048000"/>
                    </a:xfrm>
                    <a:prstGeom prst="rect"/>
                  </pic:spPr>
                </pic:pic>
              </a:graphicData>
            </a:graphic>
          </wp:inline>
        </w:drawing>
      </w:r>
    </w:p>
    <w:p>
      <w:pPr>
        <w:pStyle w:val="Heading3"/>
      </w:pPr>
      <w:r>
        <w:rPr>
          <w:rFonts w:ascii="Arial" w:hAnsi="Arial"/>
          <w:color w:val="26890D"/>
        </w:rPr>
        <w:t>1.2 Price–Volume Decomposition of Growth</w:t>
      </w:r>
    </w:p>
    <w:p>
      <w:r/>
      <w:r>
        <w:rPr>
          <w:b/>
        </w:rPr>
        <w:t>Basis of Preparation.</w:t>
      </w:r>
      <w:r>
        <w:t xml:space="preserve"> Growth was decomposed into a pure volume effect and a pure price/mix effect using a standard PxQ framework: the volume effect equals the change in net units sold multiplied by the prior-period ASP, and the price/mix effect equals the change in ASP multiplied by current-period volume. ASP (average selling price per unit) is derived as total Venta Netas divided by total Cant_Neta for each period. The decomposition was applied for two transitions: FY2021→FY2022 and PLTM22→LTM23.</w:t>
      </w:r>
    </w:p>
    <w:p>
      <w:r>
        <w:t>The single most important structural characteristic of this business's growth is that it is entirely volume-driven. In the FY2021→FY2022 transition, the €16.1m revenue increment decomposed into a volume effect of €14.9m (92.6% of growth) and a price/mix effect of only €1.2m (7.4%). The ASP moved from €49.80 to €51.68 — a 3.8% improvement — but this was a secondary contributor. In the more recent PLTM22→LTM23 window, the dynamic intensified: the volume effect amounted to 102.5% of the €14.4m growth increment, with a price/mix drag of –€0.4m (–2.5%), indicating that the blended ASP is now compressing at scale. This pattern is consistent with a business that is growing primarily by broadening its distribution footprint and SKU count rather than extracting premium pricing from existing demand. The practical implication is that revenue sustainability requires continuous volume growth — through new client acquisition, new model introductions, or store network expansion — since pricing cannot be relied upon as a growth lever.</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Metric</w:t>
            </w:r>
          </w:p>
        </w:tc>
        <w:tc>
          <w:tcPr>
            <w:tcW w:type="dxa" w:w="3120"/>
            <w:shd w:val="clear" w:color="auto" w:fill="046A38"/>
          </w:tcPr>
          <w:p>
            <w:r>
              <w:rPr>
                <w:b/>
                <w:color w:val="FFFFFF"/>
              </w:rPr>
            </w:r>
            <w:r>
              <w:rPr>
                <w:rFonts w:ascii="Arial" w:hAnsi="Arial"/>
                <w:b/>
                <w:color w:val="FFFFFF"/>
                <w:sz w:val="20"/>
              </w:rPr>
              <w:t>FY2021→FY2022</w:t>
            </w:r>
          </w:p>
        </w:tc>
        <w:tc>
          <w:tcPr>
            <w:tcW w:type="dxa" w:w="3120"/>
            <w:shd w:val="clear" w:color="auto" w:fill="046A38"/>
          </w:tcPr>
          <w:p>
            <w:r>
              <w:rPr>
                <w:b/>
                <w:color w:val="FFFFFF"/>
              </w:rPr>
            </w:r>
            <w:r>
              <w:rPr>
                <w:rFonts w:ascii="Arial" w:hAnsi="Arial"/>
                <w:b/>
                <w:color w:val="FFFFFF"/>
                <w:sz w:val="20"/>
              </w:rPr>
              <w:t>PLTM22→LTM23</w:t>
            </w:r>
          </w:p>
        </w:tc>
      </w:tr>
      <w:tr>
        <w:tc>
          <w:tcPr>
            <w:tcW w:type="dxa" w:w="3120"/>
          </w:tcPr>
          <w:p>
            <w:r/>
            <w:r>
              <w:rPr>
                <w:rFonts w:ascii="Arial" w:hAnsi="Arial"/>
                <w:sz w:val="20"/>
              </w:rPr>
              <w:t>Revenue delta</w:t>
            </w:r>
          </w:p>
        </w:tc>
        <w:tc>
          <w:tcPr>
            <w:tcW w:type="dxa" w:w="3120"/>
          </w:tcPr>
          <w:p>
            <w:r/>
            <w:r>
              <w:rPr>
                <w:rFonts w:ascii="Arial" w:hAnsi="Arial"/>
                <w:sz w:val="20"/>
              </w:rPr>
              <w:t>+€16.1m (+96.5%)</w:t>
            </w:r>
          </w:p>
        </w:tc>
        <w:tc>
          <w:tcPr>
            <w:tcW w:type="dxa" w:w="3120"/>
          </w:tcPr>
          <w:p>
            <w:r/>
            <w:r>
              <w:rPr>
                <w:rFonts w:ascii="Arial" w:hAnsi="Arial"/>
                <w:sz w:val="20"/>
              </w:rPr>
              <w:t>+€14.4m (+66.1%)</w:t>
            </w:r>
          </w:p>
        </w:tc>
      </w:tr>
      <w:tr>
        <w:tc>
          <w:tcPr>
            <w:tcW w:type="dxa" w:w="3120"/>
          </w:tcPr>
          <w:p>
            <w:r/>
            <w:r>
              <w:rPr>
                <w:rFonts w:ascii="Arial" w:hAnsi="Arial"/>
                <w:sz w:val="20"/>
              </w:rPr>
              <w:t>Volume effect</w:t>
            </w:r>
          </w:p>
        </w:tc>
        <w:tc>
          <w:tcPr>
            <w:tcW w:type="dxa" w:w="3120"/>
          </w:tcPr>
          <w:p>
            <w:r/>
            <w:r>
              <w:rPr>
                <w:rFonts w:ascii="Arial" w:hAnsi="Arial"/>
                <w:sz w:val="20"/>
              </w:rPr>
              <w:t>+€14.9m (92.6%)</w:t>
            </w:r>
          </w:p>
        </w:tc>
        <w:tc>
          <w:tcPr>
            <w:tcW w:type="dxa" w:w="3120"/>
          </w:tcPr>
          <w:p>
            <w:r/>
            <w:r>
              <w:rPr>
                <w:rFonts w:ascii="Arial" w:hAnsi="Arial"/>
                <w:sz w:val="20"/>
              </w:rPr>
              <w:t>+€14.7m (102.5%)</w:t>
            </w:r>
          </w:p>
        </w:tc>
      </w:tr>
      <w:tr>
        <w:tc>
          <w:tcPr>
            <w:tcW w:type="dxa" w:w="3120"/>
          </w:tcPr>
          <w:p>
            <w:r/>
            <w:r>
              <w:rPr>
                <w:rFonts w:ascii="Arial" w:hAnsi="Arial"/>
                <w:sz w:val="20"/>
              </w:rPr>
              <w:t>Price/mix effect</w:t>
            </w:r>
          </w:p>
        </w:tc>
        <w:tc>
          <w:tcPr>
            <w:tcW w:type="dxa" w:w="3120"/>
          </w:tcPr>
          <w:p>
            <w:r/>
            <w:r>
              <w:rPr>
                <w:rFonts w:ascii="Arial" w:hAnsi="Arial"/>
                <w:sz w:val="20"/>
              </w:rPr>
              <w:t>+€1.2m (7.4%)</w:t>
            </w:r>
          </w:p>
        </w:tc>
        <w:tc>
          <w:tcPr>
            <w:tcW w:type="dxa" w:w="3120"/>
          </w:tcPr>
          <w:p>
            <w:r/>
            <w:r>
              <w:rPr>
                <w:rFonts w:ascii="Arial" w:hAnsi="Arial"/>
                <w:sz w:val="20"/>
              </w:rPr>
              <w:t>–€0.4m (–2.5%)</w:t>
            </w:r>
          </w:p>
        </w:tc>
      </w:tr>
      <w:tr>
        <w:tc>
          <w:tcPr>
            <w:tcW w:type="dxa" w:w="3120"/>
          </w:tcPr>
          <w:p>
            <w:r/>
            <w:r>
              <w:rPr>
                <w:rFonts w:ascii="Arial" w:hAnsi="Arial"/>
                <w:sz w:val="20"/>
              </w:rPr>
              <w:t>ASP change</w:t>
            </w:r>
          </w:p>
        </w:tc>
        <w:tc>
          <w:tcPr>
            <w:tcW w:type="dxa" w:w="3120"/>
          </w:tcPr>
          <w:p>
            <w:r/>
            <w:r>
              <w:rPr>
                <w:rFonts w:ascii="Arial" w:hAnsi="Arial"/>
                <w:sz w:val="20"/>
              </w:rPr>
              <w:t>€49.80 → €51.68 (+3.8%)</w:t>
            </w:r>
          </w:p>
        </w:tc>
        <w:tc>
          <w:tcPr>
            <w:tcW w:type="dxa" w:w="3120"/>
          </w:tcPr>
          <w:p>
            <w:r/>
            <w:r>
              <w:rPr>
                <w:rFonts w:ascii="Arial" w:hAnsi="Arial"/>
                <w:sz w:val="20"/>
              </w:rPr>
              <w:t>€51.52 → €51.01 (–1.0%)</w:t>
            </w:r>
          </w:p>
        </w:tc>
      </w:tr>
    </w:tbl>
    <w:p/>
    <w:p>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iter2_pxq_waterfall_fy21_fy22.png"/>
                    <pic:cNvPicPr/>
                  </pic:nvPicPr>
                  <pic:blipFill>
                    <a:blip r:embed="rId10"/>
                    <a:stretch>
                      <a:fillRect/>
                    </a:stretch>
                  </pic:blipFill>
                  <pic:spPr>
                    <a:xfrm>
                      <a:off x="0" y="0"/>
                      <a:ext cx="5486400" cy="3429000"/>
                    </a:xfrm>
                    <a:prstGeom prst="rect"/>
                  </pic:spPr>
                </pic:pic>
              </a:graphicData>
            </a:graphic>
          </wp:inline>
        </w:drawing>
      </w:r>
    </w:p>
    <w:p>
      <w:pPr>
        <w:pStyle w:val="Heading3"/>
      </w:pPr>
      <w:r>
        <w:rPr>
          <w:rFonts w:ascii="Arial" w:hAnsi="Arial"/>
          <w:color w:val="26890D"/>
        </w:rPr>
        <w:t>1.3 Channel Revenue Architecture</w:t>
      </w:r>
    </w:p>
    <w:p>
      <w:r/>
      <w:r>
        <w:rPr>
          <w:b/>
        </w:rPr>
        <w:t>Basis of Preparation.</w:t>
      </w:r>
      <w:r>
        <w:t xml:space="preserve"> Revenue was segmented by channel (Online, Retail, Wholesales) for each period. Channel share is expressed as a percentage of total company revenue in that period. AOV (average order value) is computed as total channel revenue divided by the number of distinct transactions in the channel. ASP is total revenue divided by net units. The Online channel records aggregated direct-to-consumer (D2C) transactions through what is likely a marketplace or proprietary e-commerce platform; the single "client" entry in the underlying data is a system artifact of aggregated consumer transaction recording, not a discrete B2B account. The Retail channel reflects the company's network of directly operated own stores; each "client" entry represents one physical store location. The Wholesales channel comprises third-party B2B distributor and retailer accounts.</w:t>
      </w:r>
    </w:p>
    <w:p>
      <w:r>
        <w:t>The business operates across three structurally distinct channels, each with a different economic profile:</w:t>
      </w:r>
    </w:p>
    <w:p>
      <w:r/>
      <w:r>
        <w:rPr>
          <w:b/>
        </w:rPr>
        <w:t>Wholesale</w:t>
      </w:r>
      <w:r>
        <w:t xml:space="preserve"> remains the dominant revenue source at 59–65% of total revenue across all periods, generating €10.9m (FY2021), €20.1m (FY2022), and €21.4m (LTM23). Average order value has improved from €633 to €816 per transaction, consistent with larger basket sizes among established accounts as the relationship matures and clients gain confidence in the brand's range.</w:t>
      </w:r>
    </w:p>
    <w:p>
      <w:r/>
      <w:r>
        <w:rPr>
          <w:b/>
        </w:rPr>
        <w:t>Online (D2C)</w:t>
      </w:r>
      <w:r>
        <w:t xml:space="preserve"> has grown from €4.7m (FY2021) to €7.8m (LTM23), though its revenue share has declined from 28.0% to 21.7% as the other channels have grown faster. Consumer AOV has remained stable at approximately €3,958 per transaction in LTM23, and ASP has held broadly steady at ~€75–80, reflecting a consistent consumer purchasing profile. Volume (units) has grown from approximately 59k to 104k units over the same span, confirming healthy consumer demand expansion even as revenue share dilutes. Online ASP of ~€75 represents a meaningful premium over the blended company average of ~€51, consistent with a direct channel attracting higher-ticket or lower-discount transactions.</w:t>
      </w:r>
    </w:p>
    <w:p>
      <w:r/>
      <w:r>
        <w:rPr>
          <w:b/>
        </w:rPr>
        <w:t>Retail (own stores)</w:t>
      </w:r>
      <w:r>
        <w:t xml:space="preserve"> is the most dynamic channel in growth terms. The company has expanded its directly operated store network from 4 stores at end-FY2021 to 63 stores in LTM23 — a CAGR of approximately +240% by store count — generating a revenue increase from €1.1m to €6.9m (+512% cumulative, CAGR ~140%). This is a transformational strategic development: the company is building a direct physical retail presence at substantial pace. Per-store average order value has compressed from €1,091 to €373, which is expected in a network dominated by recently opened stores that have not yet reached productive maturity; as the store base seasons, per-store economics are likely to improve.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Channel</w:t>
            </w:r>
          </w:p>
        </w:tc>
        <w:tc>
          <w:tcPr>
            <w:tcW w:type="dxa" w:w="1872"/>
            <w:shd w:val="clear" w:color="auto" w:fill="046A38"/>
          </w:tcPr>
          <w:p>
            <w:r>
              <w:rPr>
                <w:b/>
                <w:color w:val="FFFFFF"/>
              </w:rPr>
            </w:r>
            <w:r>
              <w:rPr>
                <w:rFonts w:ascii="Arial" w:hAnsi="Arial"/>
                <w:b/>
                <w:color w:val="FFFFFF"/>
                <w:sz w:val="20"/>
              </w:rPr>
              <w:t>FY2021 Revenue</w:t>
            </w:r>
          </w:p>
        </w:tc>
        <w:tc>
          <w:tcPr>
            <w:tcW w:type="dxa" w:w="1872"/>
            <w:shd w:val="clear" w:color="auto" w:fill="046A38"/>
          </w:tcPr>
          <w:p>
            <w:r>
              <w:rPr>
                <w:b/>
                <w:color w:val="FFFFFF"/>
              </w:rPr>
            </w:r>
            <w:r>
              <w:rPr>
                <w:rFonts w:ascii="Arial" w:hAnsi="Arial"/>
                <w:b/>
                <w:color w:val="FFFFFF"/>
                <w:sz w:val="20"/>
              </w:rPr>
              <w:t>FY2022 Revenue</w:t>
            </w:r>
          </w:p>
        </w:tc>
        <w:tc>
          <w:tcPr>
            <w:tcW w:type="dxa" w:w="1872"/>
            <w:shd w:val="clear" w:color="auto" w:fill="046A38"/>
          </w:tcPr>
          <w:p>
            <w:r>
              <w:rPr>
                <w:b/>
                <w:color w:val="FFFFFF"/>
              </w:rPr>
            </w:r>
            <w:r>
              <w:rPr>
                <w:rFonts w:ascii="Arial" w:hAnsi="Arial"/>
                <w:b/>
                <w:color w:val="FFFFFF"/>
                <w:sz w:val="20"/>
              </w:rPr>
              <w:t>LTM23 Revenue</w:t>
            </w:r>
          </w:p>
        </w:tc>
        <w:tc>
          <w:tcPr>
            <w:tcW w:type="dxa" w:w="1872"/>
            <w:shd w:val="clear" w:color="auto" w:fill="046A38"/>
          </w:tcPr>
          <w:p>
            <w:r>
              <w:rPr>
                <w:b/>
                <w:color w:val="FFFFFF"/>
              </w:rPr>
            </w:r>
            <w:r>
              <w:rPr>
                <w:rFonts w:ascii="Arial" w:hAnsi="Arial"/>
                <w:b/>
                <w:color w:val="FFFFFF"/>
                <w:sz w:val="20"/>
              </w:rPr>
              <w:t>LTM23 Share</w:t>
            </w:r>
          </w:p>
        </w:tc>
      </w:tr>
      <w:tr>
        <w:tc>
          <w:tcPr>
            <w:tcW w:type="dxa" w:w="1872"/>
          </w:tcPr>
          <w:p>
            <w:r/>
            <w:r>
              <w:rPr>
                <w:rFonts w:ascii="Arial" w:hAnsi="Arial"/>
                <w:sz w:val="20"/>
              </w:rPr>
              <w:t>Wholesale</w:t>
            </w:r>
          </w:p>
        </w:tc>
        <w:tc>
          <w:tcPr>
            <w:tcW w:type="dxa" w:w="1872"/>
          </w:tcPr>
          <w:p>
            <w:r/>
            <w:r>
              <w:rPr>
                <w:rFonts w:ascii="Arial" w:hAnsi="Arial"/>
                <w:sz w:val="20"/>
              </w:rPr>
              <w:t>€10.9m</w:t>
            </w:r>
          </w:p>
        </w:tc>
        <w:tc>
          <w:tcPr>
            <w:tcW w:type="dxa" w:w="1872"/>
          </w:tcPr>
          <w:p>
            <w:r/>
            <w:r>
              <w:rPr>
                <w:rFonts w:ascii="Arial" w:hAnsi="Arial"/>
                <w:sz w:val="20"/>
              </w:rPr>
              <w:t>€20.1m</w:t>
            </w:r>
          </w:p>
        </w:tc>
        <w:tc>
          <w:tcPr>
            <w:tcW w:type="dxa" w:w="1872"/>
          </w:tcPr>
          <w:p>
            <w:r/>
            <w:r>
              <w:rPr>
                <w:rFonts w:ascii="Arial" w:hAnsi="Arial"/>
                <w:sz w:val="20"/>
              </w:rPr>
              <w:t>€21.4m</w:t>
            </w:r>
          </w:p>
        </w:tc>
        <w:tc>
          <w:tcPr>
            <w:tcW w:type="dxa" w:w="1872"/>
          </w:tcPr>
          <w:p>
            <w:r/>
            <w:r>
              <w:rPr>
                <w:rFonts w:ascii="Arial" w:hAnsi="Arial"/>
                <w:sz w:val="20"/>
              </w:rPr>
              <w:t>59.3%</w:t>
            </w:r>
          </w:p>
        </w:tc>
      </w:tr>
      <w:tr>
        <w:tc>
          <w:tcPr>
            <w:tcW w:type="dxa" w:w="1872"/>
          </w:tcPr>
          <w:p>
            <w:r/>
            <w:r>
              <w:rPr>
                <w:rFonts w:ascii="Arial" w:hAnsi="Arial"/>
                <w:sz w:val="20"/>
              </w:rPr>
              <w:t>Online (D2C)</w:t>
            </w:r>
          </w:p>
        </w:tc>
        <w:tc>
          <w:tcPr>
            <w:tcW w:type="dxa" w:w="1872"/>
          </w:tcPr>
          <w:p>
            <w:r/>
            <w:r>
              <w:rPr>
                <w:rFonts w:ascii="Arial" w:hAnsi="Arial"/>
                <w:sz w:val="20"/>
              </w:rPr>
              <w:t>€4.7m</w:t>
            </w:r>
          </w:p>
        </w:tc>
        <w:tc>
          <w:tcPr>
            <w:tcW w:type="dxa" w:w="1872"/>
          </w:tcPr>
          <w:p>
            <w:r/>
            <w:r>
              <w:rPr>
                <w:rFonts w:ascii="Arial" w:hAnsi="Arial"/>
                <w:sz w:val="20"/>
              </w:rPr>
              <w:t>€7.2m</w:t>
            </w:r>
          </w:p>
        </w:tc>
        <w:tc>
          <w:tcPr>
            <w:tcW w:type="dxa" w:w="1872"/>
          </w:tcPr>
          <w:p>
            <w:r/>
            <w:r>
              <w:rPr>
                <w:rFonts w:ascii="Arial" w:hAnsi="Arial"/>
                <w:sz w:val="20"/>
              </w:rPr>
              <w:t>€7.8m</w:t>
            </w:r>
          </w:p>
        </w:tc>
        <w:tc>
          <w:tcPr>
            <w:tcW w:type="dxa" w:w="1872"/>
          </w:tcPr>
          <w:p>
            <w:r/>
            <w:r>
              <w:rPr>
                <w:rFonts w:ascii="Arial" w:hAnsi="Arial"/>
                <w:sz w:val="20"/>
              </w:rPr>
              <w:t>21.7%</w:t>
            </w:r>
          </w:p>
        </w:tc>
      </w:tr>
      <w:tr>
        <w:tc>
          <w:tcPr>
            <w:tcW w:type="dxa" w:w="1872"/>
          </w:tcPr>
          <w:p>
            <w:r/>
            <w:r>
              <w:rPr>
                <w:rFonts w:ascii="Arial" w:hAnsi="Arial"/>
                <w:sz w:val="20"/>
              </w:rPr>
              <w:t>Retail (own stores)</w:t>
            </w:r>
          </w:p>
        </w:tc>
        <w:tc>
          <w:tcPr>
            <w:tcW w:type="dxa" w:w="1872"/>
          </w:tcPr>
          <w:p>
            <w:r/>
            <w:r>
              <w:rPr>
                <w:rFonts w:ascii="Arial" w:hAnsi="Arial"/>
                <w:sz w:val="20"/>
              </w:rPr>
              <w:t>€1.1m</w:t>
            </w:r>
          </w:p>
        </w:tc>
        <w:tc>
          <w:tcPr>
            <w:tcW w:type="dxa" w:w="1872"/>
          </w:tcPr>
          <w:p>
            <w:r/>
            <w:r>
              <w:rPr>
                <w:rFonts w:ascii="Arial" w:hAnsi="Arial"/>
                <w:sz w:val="20"/>
              </w:rPr>
              <w:t>€5.5m</w:t>
            </w:r>
          </w:p>
        </w:tc>
        <w:tc>
          <w:tcPr>
            <w:tcW w:type="dxa" w:w="1872"/>
          </w:tcPr>
          <w:p>
            <w:r/>
            <w:r>
              <w:rPr>
                <w:rFonts w:ascii="Arial" w:hAnsi="Arial"/>
                <w:sz w:val="20"/>
              </w:rPr>
              <w:t>€6.9m</w:t>
            </w:r>
          </w:p>
        </w:tc>
        <w:tc>
          <w:tcPr>
            <w:tcW w:type="dxa" w:w="1872"/>
          </w:tcPr>
          <w:p>
            <w:r/>
            <w:r>
              <w:rPr>
                <w:rFonts w:ascii="Arial" w:hAnsi="Arial"/>
                <w:sz w:val="20"/>
              </w:rPr>
              <w:t>19.0%</w:t>
            </w:r>
          </w:p>
        </w:tc>
      </w:tr>
      <w:tr>
        <w:tc>
          <w:tcPr>
            <w:tcW w:type="dxa" w:w="1872"/>
          </w:tcPr>
          <w:p>
            <w:r/>
            <w:r>
              <w:rPr>
                <w:rFonts w:ascii="Arial" w:hAnsi="Arial"/>
                <w:sz w:val="20"/>
              </w:rPr>
            </w:r>
            <w:r>
              <w:rPr>
                <w:rFonts w:ascii="Arial" w:hAnsi="Arial"/>
                <w:b/>
                <w:sz w:val="20"/>
              </w:rPr>
              <w:t>Total</w:t>
            </w:r>
            <w:r>
              <w:rPr>
                <w:rFonts w:ascii="Arial" w:hAnsi="Arial"/>
                <w:sz w:val="20"/>
              </w:rPr>
            </w:r>
          </w:p>
        </w:tc>
        <w:tc>
          <w:tcPr>
            <w:tcW w:type="dxa" w:w="1872"/>
          </w:tcPr>
          <w:p>
            <w:r/>
            <w:r>
              <w:rPr>
                <w:rFonts w:ascii="Arial" w:hAnsi="Arial"/>
                <w:sz w:val="20"/>
              </w:rPr>
            </w:r>
            <w:r>
              <w:rPr>
                <w:rFonts w:ascii="Arial" w:hAnsi="Arial"/>
                <w:b/>
                <w:sz w:val="20"/>
              </w:rPr>
              <w:t>€16.7m</w:t>
            </w:r>
            <w:r>
              <w:rPr>
                <w:rFonts w:ascii="Arial" w:hAnsi="Arial"/>
                <w:sz w:val="20"/>
              </w:rPr>
            </w:r>
          </w:p>
        </w:tc>
        <w:tc>
          <w:tcPr>
            <w:tcW w:type="dxa" w:w="1872"/>
          </w:tcPr>
          <w:p>
            <w:r/>
            <w:r>
              <w:rPr>
                <w:rFonts w:ascii="Arial" w:hAnsi="Arial"/>
                <w:sz w:val="20"/>
              </w:rPr>
            </w:r>
            <w:r>
              <w:rPr>
                <w:rFonts w:ascii="Arial" w:hAnsi="Arial"/>
                <w:b/>
                <w:sz w:val="20"/>
              </w:rPr>
              <w:t>€32.8m</w:t>
            </w:r>
            <w:r>
              <w:rPr>
                <w:rFonts w:ascii="Arial" w:hAnsi="Arial"/>
                <w:sz w:val="20"/>
              </w:rPr>
            </w:r>
          </w:p>
        </w:tc>
        <w:tc>
          <w:tcPr>
            <w:tcW w:type="dxa" w:w="1872"/>
          </w:tcPr>
          <w:p>
            <w:r/>
            <w:r>
              <w:rPr>
                <w:rFonts w:ascii="Arial" w:hAnsi="Arial"/>
                <w:sz w:val="20"/>
              </w:rPr>
            </w:r>
            <w:r>
              <w:rPr>
                <w:rFonts w:ascii="Arial" w:hAnsi="Arial"/>
                <w:b/>
                <w:sz w:val="20"/>
              </w:rPr>
              <w:t>€36.1m</w:t>
            </w:r>
            <w:r>
              <w:rPr>
                <w:rFonts w:ascii="Arial" w:hAnsi="Arial"/>
                <w:sz w:val="20"/>
              </w:rPr>
            </w:r>
          </w:p>
        </w:tc>
        <w:tc>
          <w:tcPr>
            <w:tcW w:type="dxa" w:w="1872"/>
          </w:tcPr>
          <w:p>
            <w:r/>
            <w:r>
              <w:rPr>
                <w:rFonts w:ascii="Arial" w:hAnsi="Arial"/>
                <w:sz w:val="20"/>
              </w:rPr>
            </w:r>
            <w:r>
              <w:rPr>
                <w:rFonts w:ascii="Arial" w:hAnsi="Arial"/>
                <w:b/>
                <w:sz w:val="20"/>
              </w:rPr>
              <w:t>100%</w:t>
            </w:r>
            <w:r>
              <w:rPr>
                <w:rFonts w:ascii="Arial" w:hAnsi="Arial"/>
                <w:sz w:val="20"/>
              </w:rPr>
            </w:r>
          </w:p>
        </w:tc>
      </w:tr>
    </w:tbl>
    <w:p/>
    <w:p>
      <w:r>
        <w:drawing>
          <wp:inline xmlns:a="http://schemas.openxmlformats.org/drawingml/2006/main" xmlns:pic="http://schemas.openxmlformats.org/drawingml/2006/picture">
            <wp:extent cx="5486400" cy="3274082"/>
            <wp:docPr id="3" name="Picture 3"/>
            <wp:cNvGraphicFramePr>
              <a:graphicFrameLocks noChangeAspect="1"/>
            </wp:cNvGraphicFramePr>
            <a:graphic>
              <a:graphicData uri="http://schemas.openxmlformats.org/drawingml/2006/picture">
                <pic:pic>
                  <pic:nvPicPr>
                    <pic:cNvPr id="0" name="iter2_channel_revenue_by_period.png"/>
                    <pic:cNvPicPr/>
                  </pic:nvPicPr>
                  <pic:blipFill>
                    <a:blip r:embed="rId11"/>
                    <a:stretch>
                      <a:fillRect/>
                    </a:stretch>
                  </pic:blipFill>
                  <pic:spPr>
                    <a:xfrm>
                      <a:off x="0" y="0"/>
                      <a:ext cx="5486400" cy="3274082"/>
                    </a:xfrm>
                    <a:prstGeom prst="rect"/>
                  </pic:spPr>
                </pic:pic>
              </a:graphicData>
            </a:graphic>
          </wp:inline>
        </w:drawing>
      </w:r>
    </w:p>
    <w:p>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iter2_channel_revenue_share.png"/>
                    <pic:cNvPicPr/>
                  </pic:nvPicPr>
                  <pic:blipFill>
                    <a:blip r:embed="rId12"/>
                    <a:stretch>
                      <a:fillRect/>
                    </a:stretch>
                  </pic:blipFill>
                  <pic:spPr>
                    <a:xfrm>
                      <a:off x="0" y="0"/>
                      <a:ext cx="5486400" cy="3429000"/>
                    </a:xfrm>
                    <a:prstGeom prst="rect"/>
                  </pic:spPr>
                </pic:pic>
              </a:graphicData>
            </a:graphic>
          </wp:inline>
        </w:drawing>
      </w:r>
    </w:p>
    <w:p/>
    <w:p>
      <w:pPr>
        <w:pStyle w:val="Heading2"/>
      </w:pPr>
      <w:r>
        <w:rPr>
          <w:rFonts w:ascii="Arial" w:hAnsi="Arial"/>
          <w:color w:val="26890D"/>
        </w:rPr>
        <w:t>Section 2: Channel Architecture and Direct-to-Consumer Expansion</w:t>
      </w:r>
    </w:p>
    <w:p>
      <w:pPr>
        <w:pStyle w:val="Heading3"/>
      </w:pPr>
      <w:r>
        <w:rPr>
          <w:rFonts w:ascii="Arial" w:hAnsi="Arial"/>
          <w:color w:val="26890D"/>
        </w:rPr>
        <w:t>2.1 Own-Store Network Expansion (Retail Channel)</w:t>
      </w:r>
    </w:p>
    <w:p>
      <w:r/>
      <w:r>
        <w:rPr>
          <w:b/>
        </w:rPr>
        <w:t>Basis of Preparation.</w:t>
      </w:r>
      <w:r>
        <w:t xml:space="preserve"> Retail channel metrics were derived from transaction records flagged as "Retail" in the Canal field. Each unique Tienda_Cliente entry in the retail channel represents one company-owned physical store. Store count progression was tracked across FY2021, FY2022, and LTM23. Per-store AOV was computed as total retail revenue divided by transaction count, serving as a proxy for per-store activity intensity; revenue per active store was computed as total retail channel revenue divided by unique active stores in that period. Store maturity classification (new vs. established) was not directly available in the data; all interpretations of AOV compression are inferred from the expansion cadence.</w:t>
      </w:r>
    </w:p>
    <w:p>
      <w:r>
        <w:t>The retail channel data reveals what is arguably the most significant strategic development visible in the dataset: the company has executed a rapid own-store rollout, growing from 4 directly operated retail locations in FY2021 to 58 by FY2022 and 63 by LTM23. This is not organic store-base maturation; it represents a deliberate channel investment that has fundamentally altered the company's route-to-market strategy and cost structure.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Period</w:t>
            </w:r>
          </w:p>
        </w:tc>
        <w:tc>
          <w:tcPr>
            <w:tcW w:type="dxa" w:w="1872"/>
            <w:shd w:val="clear" w:color="auto" w:fill="046A38"/>
          </w:tcPr>
          <w:p>
            <w:r>
              <w:rPr>
                <w:b/>
                <w:color w:val="FFFFFF"/>
              </w:rPr>
            </w:r>
            <w:r>
              <w:rPr>
                <w:rFonts w:ascii="Arial" w:hAnsi="Arial"/>
                <w:b/>
                <w:color w:val="FFFFFF"/>
                <w:sz w:val="20"/>
              </w:rPr>
              <w:t>Own Stores</w:t>
            </w:r>
          </w:p>
        </w:tc>
        <w:tc>
          <w:tcPr>
            <w:tcW w:type="dxa" w:w="1872"/>
            <w:shd w:val="clear" w:color="auto" w:fill="046A38"/>
          </w:tcPr>
          <w:p>
            <w:r>
              <w:rPr>
                <w:b/>
                <w:color w:val="FFFFFF"/>
              </w:rPr>
            </w:r>
            <w:r>
              <w:rPr>
                <w:rFonts w:ascii="Arial" w:hAnsi="Arial"/>
                <w:b/>
                <w:color w:val="FFFFFF"/>
                <w:sz w:val="20"/>
              </w:rPr>
              <w:t>Retail Revenue</w:t>
            </w:r>
          </w:p>
        </w:tc>
        <w:tc>
          <w:tcPr>
            <w:tcW w:type="dxa" w:w="1872"/>
            <w:shd w:val="clear" w:color="auto" w:fill="046A38"/>
          </w:tcPr>
          <w:p>
            <w:r>
              <w:rPr>
                <w:b/>
                <w:color w:val="FFFFFF"/>
              </w:rPr>
            </w:r>
            <w:r>
              <w:rPr>
                <w:rFonts w:ascii="Arial" w:hAnsi="Arial"/>
                <w:b/>
                <w:color w:val="FFFFFF"/>
                <w:sz w:val="20"/>
              </w:rPr>
              <w:t>Revenue/Store</w:t>
            </w:r>
          </w:p>
        </w:tc>
        <w:tc>
          <w:tcPr>
            <w:tcW w:type="dxa" w:w="1872"/>
            <w:shd w:val="clear" w:color="auto" w:fill="046A38"/>
          </w:tcPr>
          <w:p>
            <w:r>
              <w:rPr>
                <w:b/>
                <w:color w:val="FFFFFF"/>
              </w:rPr>
            </w:r>
            <w:r>
              <w:rPr>
                <w:rFonts w:ascii="Arial" w:hAnsi="Arial"/>
                <w:b/>
                <w:color w:val="FFFFFF"/>
                <w:sz w:val="20"/>
              </w:rPr>
              <w:t>AOV/Transaction</w:t>
            </w:r>
          </w:p>
        </w:tc>
      </w:tr>
      <w:tr>
        <w:tc>
          <w:tcPr>
            <w:tcW w:type="dxa" w:w="1872"/>
          </w:tcPr>
          <w:p>
            <w:r/>
            <w:r>
              <w:rPr>
                <w:rFonts w:ascii="Arial" w:hAnsi="Arial"/>
                <w:sz w:val="20"/>
              </w:rPr>
              <w:t>FY2021</w:t>
            </w:r>
          </w:p>
        </w:tc>
        <w:tc>
          <w:tcPr>
            <w:tcW w:type="dxa" w:w="1872"/>
          </w:tcPr>
          <w:p>
            <w:r/>
            <w:r>
              <w:rPr>
                <w:rFonts w:ascii="Arial" w:hAnsi="Arial"/>
                <w:sz w:val="20"/>
              </w:rPr>
              <w:t>4</w:t>
            </w:r>
          </w:p>
        </w:tc>
        <w:tc>
          <w:tcPr>
            <w:tcW w:type="dxa" w:w="1872"/>
          </w:tcPr>
          <w:p>
            <w:r/>
            <w:r>
              <w:rPr>
                <w:rFonts w:ascii="Arial" w:hAnsi="Arial"/>
                <w:sz w:val="20"/>
              </w:rPr>
              <w:t>€1.1m</w:t>
            </w:r>
          </w:p>
        </w:tc>
        <w:tc>
          <w:tcPr>
            <w:tcW w:type="dxa" w:w="1872"/>
          </w:tcPr>
          <w:p>
            <w:r/>
            <w:r>
              <w:rPr>
                <w:rFonts w:ascii="Arial" w:hAnsi="Arial"/>
                <w:sz w:val="20"/>
              </w:rPr>
              <w:t>€283k</w:t>
            </w:r>
          </w:p>
        </w:tc>
        <w:tc>
          <w:tcPr>
            <w:tcW w:type="dxa" w:w="1872"/>
          </w:tcPr>
          <w:p>
            <w:r/>
            <w:r>
              <w:rPr>
                <w:rFonts w:ascii="Arial" w:hAnsi="Arial"/>
                <w:sz w:val="20"/>
              </w:rPr>
              <w:t>€1,091</w:t>
            </w:r>
          </w:p>
        </w:tc>
      </w:tr>
      <w:tr>
        <w:tc>
          <w:tcPr>
            <w:tcW w:type="dxa" w:w="1872"/>
          </w:tcPr>
          <w:p>
            <w:r/>
            <w:r>
              <w:rPr>
                <w:rFonts w:ascii="Arial" w:hAnsi="Arial"/>
                <w:sz w:val="20"/>
              </w:rPr>
              <w:t>FY2022</w:t>
            </w:r>
          </w:p>
        </w:tc>
        <w:tc>
          <w:tcPr>
            <w:tcW w:type="dxa" w:w="1872"/>
          </w:tcPr>
          <w:p>
            <w:r/>
            <w:r>
              <w:rPr>
                <w:rFonts w:ascii="Arial" w:hAnsi="Arial"/>
                <w:sz w:val="20"/>
              </w:rPr>
              <w:t>58</w:t>
            </w:r>
          </w:p>
        </w:tc>
        <w:tc>
          <w:tcPr>
            <w:tcW w:type="dxa" w:w="1872"/>
          </w:tcPr>
          <w:p>
            <w:r/>
            <w:r>
              <w:rPr>
                <w:rFonts w:ascii="Arial" w:hAnsi="Arial"/>
                <w:sz w:val="20"/>
              </w:rPr>
              <w:t>€5.5m</w:t>
            </w:r>
          </w:p>
        </w:tc>
        <w:tc>
          <w:tcPr>
            <w:tcW w:type="dxa" w:w="1872"/>
          </w:tcPr>
          <w:p>
            <w:r/>
            <w:r>
              <w:rPr>
                <w:rFonts w:ascii="Arial" w:hAnsi="Arial"/>
                <w:sz w:val="20"/>
              </w:rPr>
              <w:t>€95k</w:t>
            </w:r>
          </w:p>
        </w:tc>
        <w:tc>
          <w:tcPr>
            <w:tcW w:type="dxa" w:w="1872"/>
          </w:tcPr>
          <w:p>
            <w:r/>
            <w:r>
              <w:rPr>
                <w:rFonts w:ascii="Arial" w:hAnsi="Arial"/>
                <w:sz w:val="20"/>
              </w:rPr>
              <w:t>€440</w:t>
            </w:r>
          </w:p>
        </w:tc>
      </w:tr>
      <w:tr>
        <w:tc>
          <w:tcPr>
            <w:tcW w:type="dxa" w:w="1872"/>
          </w:tcPr>
          <w:p>
            <w:r/>
            <w:r>
              <w:rPr>
                <w:rFonts w:ascii="Arial" w:hAnsi="Arial"/>
                <w:sz w:val="20"/>
              </w:rPr>
              <w:t>LTM23</w:t>
            </w:r>
          </w:p>
        </w:tc>
        <w:tc>
          <w:tcPr>
            <w:tcW w:type="dxa" w:w="1872"/>
          </w:tcPr>
          <w:p>
            <w:r/>
            <w:r>
              <w:rPr>
                <w:rFonts w:ascii="Arial" w:hAnsi="Arial"/>
                <w:sz w:val="20"/>
              </w:rPr>
              <w:t>63</w:t>
            </w:r>
          </w:p>
        </w:tc>
        <w:tc>
          <w:tcPr>
            <w:tcW w:type="dxa" w:w="1872"/>
          </w:tcPr>
          <w:p>
            <w:r/>
            <w:r>
              <w:rPr>
                <w:rFonts w:ascii="Arial" w:hAnsi="Arial"/>
                <w:sz w:val="20"/>
              </w:rPr>
              <w:t>€6.9m</w:t>
            </w:r>
          </w:p>
        </w:tc>
        <w:tc>
          <w:tcPr>
            <w:tcW w:type="dxa" w:w="1872"/>
          </w:tcPr>
          <w:p>
            <w:r/>
            <w:r>
              <w:rPr>
                <w:rFonts w:ascii="Arial" w:hAnsi="Arial"/>
                <w:sz w:val="20"/>
              </w:rPr>
              <w:t>€109k</w:t>
            </w:r>
          </w:p>
        </w:tc>
        <w:tc>
          <w:tcPr>
            <w:tcW w:type="dxa" w:w="1872"/>
          </w:tcPr>
          <w:p>
            <w:r/>
            <w:r>
              <w:rPr>
                <w:rFonts w:ascii="Arial" w:hAnsi="Arial"/>
                <w:sz w:val="20"/>
              </w:rPr>
              <w:t>€373</w:t>
            </w:r>
          </w:p>
        </w:tc>
      </w:tr>
      <w:tr>
        <w:tc>
          <w:tcPr>
            <w:tcW w:type="dxa" w:w="1872"/>
          </w:tcPr>
          <w:p>
            <w:r/>
            <w:r>
              <w:rPr>
                <w:rFonts w:ascii="Arial" w:hAnsi="Arial"/>
                <w:sz w:val="20"/>
              </w:rPr>
              <w:t>CAGR</w:t>
            </w:r>
          </w:p>
        </w:tc>
        <w:tc>
          <w:tcPr>
            <w:tcW w:type="dxa" w:w="1872"/>
          </w:tcPr>
          <w:p>
            <w:r/>
            <w:r>
              <w:rPr>
                <w:rFonts w:ascii="Arial" w:hAnsi="Arial"/>
                <w:sz w:val="20"/>
              </w:rPr>
              <w:t>+240.5% store CAGR</w:t>
            </w:r>
          </w:p>
        </w:tc>
        <w:tc>
          <w:tcPr>
            <w:tcW w:type="dxa" w:w="1872"/>
          </w:tcPr>
          <w:p>
            <w:r/>
            <w:r>
              <w:rPr>
                <w:rFonts w:ascii="Arial" w:hAnsi="Arial"/>
                <w:sz w:val="20"/>
              </w:rPr>
            </w:r>
          </w:p>
        </w:tc>
        <w:tc>
          <w:tcPr>
            <w:tcW w:type="dxa" w:w="1872"/>
          </w:tcPr>
          <w:p>
            <w:r/>
            <w:r>
              <w:rPr>
                <w:rFonts w:ascii="Arial" w:hAnsi="Arial"/>
                <w:sz w:val="20"/>
              </w:rPr>
            </w:r>
          </w:p>
        </w:tc>
        <w:tc>
          <w:tcPr>
            <w:tcW w:type="dxa" w:w="1872"/>
          </w:tcPr>
          <w:p>
            <w:r/>
            <w:r>
              <w:rPr>
                <w:rFonts w:ascii="Arial" w:hAnsi="Arial"/>
                <w:sz w:val="20"/>
              </w:rPr>
            </w:r>
          </w:p>
        </w:tc>
      </w:tr>
    </w:tbl>
    <w:p/>
    <w:p>
      <w:r>
        <w:t>The compression in per-store revenue from €283k to €109k, and in AOV from €1,091 to €373, is directly attributable to the composition of the network: in FY2021, the four stores in operation were either mature locations or anchor flagships generating high per-unit productivity. As 54 new stores were added in FY2022 alone, the blend shifted toward younger stores in a ramp-up phase. The modest improvement from €95k to €109k per store between FY2022 and LTM23 suggests the network is beginning to mature, though the full productivity picture will depend on whether new stores were opened throughout FY2022 or primarily in the second half. The LTM23 per-store run-rate of ~€109k, if applied to a fully mature 63-store base, would imply a potential long-term retail revenue contribution materially above the current €6.9m.</w:t>
      </w:r>
    </w:p>
    <w:p>
      <w:r>
        <w:t>The retail channel's product mix (Premium-tier models with 43.9% Online / 35.9% Retail / 20.2% Wholesale) confirms that own stores skew toward higher-ASP product categories relative to the wholesale channel. This is consistent with a direct retail strategy aimed at brand elevation and consumer relationship ownership, rather than pure volume distribution.</w:t>
      </w:r>
    </w:p>
    <w:p>
      <w:r>
        <w:drawing>
          <wp:inline xmlns:a="http://schemas.openxmlformats.org/drawingml/2006/main" xmlns:pic="http://schemas.openxmlformats.org/drawingml/2006/picture">
            <wp:extent cx="5486400" cy="3276291"/>
            <wp:docPr id="5" name="Picture 5"/>
            <wp:cNvGraphicFramePr>
              <a:graphicFrameLocks noChangeAspect="1"/>
            </wp:cNvGraphicFramePr>
            <a:graphic>
              <a:graphicData uri="http://schemas.openxmlformats.org/drawingml/2006/picture">
                <pic:pic>
                  <pic:nvPicPr>
                    <pic:cNvPr id="0" name="iter2_avg_ticket_by_channel.png"/>
                    <pic:cNvPicPr/>
                  </pic:nvPicPr>
                  <pic:blipFill>
                    <a:blip r:embed="rId13"/>
                    <a:stretch>
                      <a:fillRect/>
                    </a:stretch>
                  </pic:blipFill>
                  <pic:spPr>
                    <a:xfrm>
                      <a:off x="0" y="0"/>
                      <a:ext cx="5486400" cy="3276291"/>
                    </a:xfrm>
                    <a:prstGeom prst="rect"/>
                  </pic:spPr>
                </pic:pic>
              </a:graphicData>
            </a:graphic>
          </wp:inline>
        </w:drawing>
      </w:r>
    </w:p>
    <w:p>
      <w:pPr>
        <w:pStyle w:val="Heading3"/>
      </w:pPr>
      <w:r>
        <w:rPr>
          <w:rFonts w:ascii="Arial" w:hAnsi="Arial"/>
          <w:color w:val="26890D"/>
        </w:rPr>
        <w:t>2.2 Online (D2C) Channel Dynamics</w:t>
      </w:r>
    </w:p>
    <w:p>
      <w:r/>
      <w:r>
        <w:rPr>
          <w:b/>
        </w:rPr>
        <w:t>Basis of Preparation.</w:t>
      </w:r>
      <w:r>
        <w:t xml:space="preserve"> Online channel data is recorded as aggregated consumer transactions through what appears to be a single platform identifier in the source system. Revenue, volume (units), transaction count, AOV, and ASP were computed directly from the Venta Netas and Cant_Neta fields filtered to the Online canal category. Negative entries (returns/adjustments) are included in the net figures, consistent with the treatment applied across all channels.</w:t>
      </w:r>
    </w:p>
    <w:p>
      <w:r>
        <w:t>The Online D2C channel has grown steadily in absolute revenue terms — from €4.7m (FY2021) to €7.2m (FY2022) to €7.8m (LTM23) — while its share of total revenue has declined from 28.0% to 21.7% as wholesale and retail have expanded faster. Consumer demand is growing: net unit volume has increased from approximately 59k to 104k units per year, a volume CAGR of roughly +33%.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Period</w:t>
            </w:r>
          </w:p>
        </w:tc>
        <w:tc>
          <w:tcPr>
            <w:tcW w:type="dxa" w:w="1560"/>
            <w:shd w:val="clear" w:color="auto" w:fill="046A38"/>
          </w:tcPr>
          <w:p>
            <w:r>
              <w:rPr>
                <w:b/>
                <w:color w:val="FFFFFF"/>
              </w:rPr>
            </w:r>
            <w:r>
              <w:rPr>
                <w:rFonts w:ascii="Arial" w:hAnsi="Arial"/>
                <w:b/>
                <w:color w:val="FFFFFF"/>
                <w:sz w:val="20"/>
              </w:rPr>
              <w:t>Online Revenue</w:t>
            </w:r>
          </w:p>
        </w:tc>
        <w:tc>
          <w:tcPr>
            <w:tcW w:type="dxa" w:w="1560"/>
            <w:shd w:val="clear" w:color="auto" w:fill="046A38"/>
          </w:tcPr>
          <w:p>
            <w:r>
              <w:rPr>
                <w:b/>
                <w:color w:val="FFFFFF"/>
              </w:rPr>
            </w:r>
            <w:r>
              <w:rPr>
                <w:rFonts w:ascii="Arial" w:hAnsi="Arial"/>
                <w:b/>
                <w:color w:val="FFFFFF"/>
                <w:sz w:val="20"/>
              </w:rPr>
              <w:t>Revenue Share</w:t>
            </w:r>
          </w:p>
        </w:tc>
        <w:tc>
          <w:tcPr>
            <w:tcW w:type="dxa" w:w="1560"/>
            <w:shd w:val="clear" w:color="auto" w:fill="046A38"/>
          </w:tcPr>
          <w:p>
            <w:r>
              <w:rPr>
                <w:b/>
                <w:color w:val="FFFFFF"/>
              </w:rPr>
            </w:r>
            <w:r>
              <w:rPr>
                <w:rFonts w:ascii="Arial" w:hAnsi="Arial"/>
                <w:b/>
                <w:color w:val="FFFFFF"/>
                <w:sz w:val="20"/>
              </w:rPr>
              <w:t>Net Units</w:t>
            </w:r>
          </w:p>
        </w:tc>
        <w:tc>
          <w:tcPr>
            <w:tcW w:type="dxa" w:w="1560"/>
            <w:shd w:val="clear" w:color="auto" w:fill="046A38"/>
          </w:tcPr>
          <w:p>
            <w:r>
              <w:rPr>
                <w:b/>
                <w:color w:val="FFFFFF"/>
              </w:rPr>
            </w:r>
            <w:r>
              <w:rPr>
                <w:rFonts w:ascii="Arial" w:hAnsi="Arial"/>
                <w:b/>
                <w:color w:val="FFFFFF"/>
                <w:sz w:val="20"/>
              </w:rPr>
              <w:t>AOV</w:t>
            </w:r>
          </w:p>
        </w:tc>
        <w:tc>
          <w:tcPr>
            <w:tcW w:type="dxa" w:w="1560"/>
            <w:shd w:val="clear" w:color="auto" w:fill="046A38"/>
          </w:tcPr>
          <w:p>
            <w:r>
              <w:rPr>
                <w:b/>
                <w:color w:val="FFFFFF"/>
              </w:rPr>
            </w:r>
            <w:r>
              <w:rPr>
                <w:rFonts w:ascii="Arial" w:hAnsi="Arial"/>
                <w:b/>
                <w:color w:val="FFFFFF"/>
                <w:sz w:val="20"/>
              </w:rPr>
              <w:t>ASP</w:t>
            </w:r>
          </w:p>
        </w:tc>
      </w:tr>
      <w:tr>
        <w:tc>
          <w:tcPr>
            <w:tcW w:type="dxa" w:w="1560"/>
          </w:tcPr>
          <w:p>
            <w:r/>
            <w:r>
              <w:rPr>
                <w:rFonts w:ascii="Arial" w:hAnsi="Arial"/>
                <w:sz w:val="20"/>
              </w:rPr>
              <w:t>FY2021</w:t>
            </w:r>
          </w:p>
        </w:tc>
        <w:tc>
          <w:tcPr>
            <w:tcW w:type="dxa" w:w="1560"/>
          </w:tcPr>
          <w:p>
            <w:r/>
            <w:r>
              <w:rPr>
                <w:rFonts w:ascii="Arial" w:hAnsi="Arial"/>
                <w:sz w:val="20"/>
              </w:rPr>
              <w:t>€4.7m</w:t>
            </w:r>
          </w:p>
        </w:tc>
        <w:tc>
          <w:tcPr>
            <w:tcW w:type="dxa" w:w="1560"/>
          </w:tcPr>
          <w:p>
            <w:r/>
            <w:r>
              <w:rPr>
                <w:rFonts w:ascii="Arial" w:hAnsi="Arial"/>
                <w:sz w:val="20"/>
              </w:rPr>
              <w:t>28.0%</w:t>
            </w:r>
          </w:p>
        </w:tc>
        <w:tc>
          <w:tcPr>
            <w:tcW w:type="dxa" w:w="1560"/>
          </w:tcPr>
          <w:p>
            <w:r/>
            <w:r>
              <w:rPr>
                <w:rFonts w:ascii="Arial" w:hAnsi="Arial"/>
                <w:sz w:val="20"/>
              </w:rPr>
              <w:t>~59k</w:t>
            </w:r>
          </w:p>
        </w:tc>
        <w:tc>
          <w:tcPr>
            <w:tcW w:type="dxa" w:w="1560"/>
          </w:tcPr>
          <w:p>
            <w:r/>
            <w:r>
              <w:rPr>
                <w:rFonts w:ascii="Arial" w:hAnsi="Arial"/>
                <w:sz w:val="20"/>
              </w:rPr>
              <w:t>€4,089</w:t>
            </w:r>
          </w:p>
        </w:tc>
        <w:tc>
          <w:tcPr>
            <w:tcW w:type="dxa" w:w="1560"/>
          </w:tcPr>
          <w:p>
            <w:r/>
            <w:r>
              <w:rPr>
                <w:rFonts w:ascii="Arial" w:hAnsi="Arial"/>
                <w:sz w:val="20"/>
              </w:rPr>
              <w:t>€79.15</w:t>
            </w:r>
          </w:p>
        </w:tc>
      </w:tr>
      <w:tr>
        <w:tc>
          <w:tcPr>
            <w:tcW w:type="dxa" w:w="1560"/>
          </w:tcPr>
          <w:p>
            <w:r/>
            <w:r>
              <w:rPr>
                <w:rFonts w:ascii="Arial" w:hAnsi="Arial"/>
                <w:sz w:val="20"/>
              </w:rPr>
              <w:t>FY2022</w:t>
            </w:r>
          </w:p>
        </w:tc>
        <w:tc>
          <w:tcPr>
            <w:tcW w:type="dxa" w:w="1560"/>
          </w:tcPr>
          <w:p>
            <w:r/>
            <w:r>
              <w:rPr>
                <w:rFonts w:ascii="Arial" w:hAnsi="Arial"/>
                <w:sz w:val="20"/>
              </w:rPr>
              <w:t>€7.2m</w:t>
            </w:r>
          </w:p>
        </w:tc>
        <w:tc>
          <w:tcPr>
            <w:tcW w:type="dxa" w:w="1560"/>
          </w:tcPr>
          <w:p>
            <w:r/>
            <w:r>
              <w:rPr>
                <w:rFonts w:ascii="Arial" w:hAnsi="Arial"/>
                <w:sz w:val="20"/>
              </w:rPr>
              <w:t>21.9%</w:t>
            </w:r>
          </w:p>
        </w:tc>
        <w:tc>
          <w:tcPr>
            <w:tcW w:type="dxa" w:w="1560"/>
          </w:tcPr>
          <w:p>
            <w:r/>
            <w:r>
              <w:rPr>
                <w:rFonts w:ascii="Arial" w:hAnsi="Arial"/>
                <w:sz w:val="20"/>
              </w:rPr>
              <w:t>~91k</w:t>
            </w:r>
          </w:p>
        </w:tc>
        <w:tc>
          <w:tcPr>
            <w:tcW w:type="dxa" w:w="1560"/>
          </w:tcPr>
          <w:p>
            <w:r/>
            <w:r>
              <w:rPr>
                <w:rFonts w:ascii="Arial" w:hAnsi="Arial"/>
                <w:sz w:val="20"/>
              </w:rPr>
              <w:t>€3,938</w:t>
            </w:r>
          </w:p>
        </w:tc>
        <w:tc>
          <w:tcPr>
            <w:tcW w:type="dxa" w:w="1560"/>
          </w:tcPr>
          <w:p>
            <w:r/>
            <w:r>
              <w:rPr>
                <w:rFonts w:ascii="Arial" w:hAnsi="Arial"/>
                <w:sz w:val="20"/>
              </w:rPr>
              <w:t>€79.50</w:t>
            </w:r>
          </w:p>
        </w:tc>
      </w:tr>
      <w:tr>
        <w:tc>
          <w:tcPr>
            <w:tcW w:type="dxa" w:w="1560"/>
          </w:tcPr>
          <w:p>
            <w:r/>
            <w:r>
              <w:rPr>
                <w:rFonts w:ascii="Arial" w:hAnsi="Arial"/>
                <w:sz w:val="20"/>
              </w:rPr>
              <w:t>LTM23</w:t>
            </w:r>
          </w:p>
        </w:tc>
        <w:tc>
          <w:tcPr>
            <w:tcW w:type="dxa" w:w="1560"/>
          </w:tcPr>
          <w:p>
            <w:r/>
            <w:r>
              <w:rPr>
                <w:rFonts w:ascii="Arial" w:hAnsi="Arial"/>
                <w:sz w:val="20"/>
              </w:rPr>
              <w:t>€7.8m</w:t>
            </w:r>
          </w:p>
        </w:tc>
        <w:tc>
          <w:tcPr>
            <w:tcW w:type="dxa" w:w="1560"/>
          </w:tcPr>
          <w:p>
            <w:r/>
            <w:r>
              <w:rPr>
                <w:rFonts w:ascii="Arial" w:hAnsi="Arial"/>
                <w:sz w:val="20"/>
              </w:rPr>
              <w:t>21.7%</w:t>
            </w:r>
          </w:p>
        </w:tc>
        <w:tc>
          <w:tcPr>
            <w:tcW w:type="dxa" w:w="1560"/>
          </w:tcPr>
          <w:p>
            <w:r/>
            <w:r>
              <w:rPr>
                <w:rFonts w:ascii="Arial" w:hAnsi="Arial"/>
                <w:sz w:val="20"/>
              </w:rPr>
              <w:t>~104k</w:t>
            </w:r>
          </w:p>
        </w:tc>
        <w:tc>
          <w:tcPr>
            <w:tcW w:type="dxa" w:w="1560"/>
          </w:tcPr>
          <w:p>
            <w:r/>
            <w:r>
              <w:rPr>
                <w:rFonts w:ascii="Arial" w:hAnsi="Arial"/>
                <w:sz w:val="20"/>
              </w:rPr>
              <w:t>€3,958</w:t>
            </w:r>
          </w:p>
        </w:tc>
        <w:tc>
          <w:tcPr>
            <w:tcW w:type="dxa" w:w="1560"/>
          </w:tcPr>
          <w:p>
            <w:r/>
            <w:r>
              <w:rPr>
                <w:rFonts w:ascii="Arial" w:hAnsi="Arial"/>
                <w:sz w:val="20"/>
              </w:rPr>
              <w:t>€75.23</w:t>
            </w:r>
          </w:p>
        </w:tc>
      </w:tr>
    </w:tbl>
    <w:p/>
    <w:p>
      <w:r>
        <w:t>The slight decline in consumer ASP from €79.50 to €75.23 is consistent with product mix shifts rather than active pricing concessions — Entry and Lower-Mid tier models, which carry lower ASPs, appear to be gaining traction with online consumers as the brand broadens its product offering. The channel's AOV (~€3,958 per transaction batch) is structurally higher than both wholesale (€816) and retail (€373), reflecting the aggregated nature of platform transaction reporting rather than a direct consumer comparison. The Online channel's Premium-tier affinity (43.9% of Premium-tier revenue sold online) suggests that consumer demand via D2C is disproportionately concentrated in the brand's highest-quality and highest-margin product categories.</w:t>
      </w:r>
    </w:p>
    <w:p>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iter2_channel_aov_by_period.png"/>
                    <pic:cNvPicPr/>
                  </pic:nvPicPr>
                  <pic:blipFill>
                    <a:blip r:embed="rId14"/>
                    <a:stretch>
                      <a:fillRect/>
                    </a:stretch>
                  </pic:blipFill>
                  <pic:spPr>
                    <a:xfrm>
                      <a:off x="0" y="0"/>
                      <a:ext cx="5486400" cy="2743200"/>
                    </a:xfrm>
                    <a:prstGeom prst="rect"/>
                  </pic:spPr>
                </pic:pic>
              </a:graphicData>
            </a:graphic>
          </wp:inline>
        </w:drawing>
      </w:r>
    </w:p>
    <w:p>
      <w:r>
        <w:drawing>
          <wp:inline xmlns:a="http://schemas.openxmlformats.org/drawingml/2006/main" xmlns:pic="http://schemas.openxmlformats.org/drawingml/2006/picture">
            <wp:extent cx="5486400" cy="2264717"/>
            <wp:docPr id="7" name="Picture 7"/>
            <wp:cNvGraphicFramePr>
              <a:graphicFrameLocks noChangeAspect="1"/>
            </wp:cNvGraphicFramePr>
            <a:graphic>
              <a:graphicData uri="http://schemas.openxmlformats.org/drawingml/2006/picture">
                <pic:pic>
                  <pic:nvPicPr>
                    <pic:cNvPr id="0" name="iter2_channel_mix_monthly.png"/>
                    <pic:cNvPicPr/>
                  </pic:nvPicPr>
                  <pic:blipFill>
                    <a:blip r:embed="rId15"/>
                    <a:stretch>
                      <a:fillRect/>
                    </a:stretch>
                  </pic:blipFill>
                  <pic:spPr>
                    <a:xfrm>
                      <a:off x="0" y="0"/>
                      <a:ext cx="5486400" cy="2264717"/>
                    </a:xfrm>
                    <a:prstGeom prst="rect"/>
                  </pic:spPr>
                </pic:pic>
              </a:graphicData>
            </a:graphic>
          </wp:inline>
        </w:drawing>
      </w:r>
    </w:p>
    <w:p/>
    <w:p>
      <w:pPr>
        <w:pStyle w:val="Heading2"/>
      </w:pPr>
      <w:r>
        <w:rPr>
          <w:rFonts w:ascii="Arial" w:hAnsi="Arial"/>
          <w:color w:val="26890D"/>
        </w:rPr>
        <w:t>Section 3: New Entrant Model Lifecycle and Durability</w:t>
      </w:r>
    </w:p>
    <w:p>
      <w:pPr>
        <w:pStyle w:val="Heading3"/>
      </w:pPr>
      <w:r>
        <w:rPr>
          <w:rFonts w:ascii="Arial" w:hAnsi="Arial"/>
          <w:color w:val="26890D"/>
        </w:rPr>
        <w:t>3.1 Portfolio Lifecycle Structure and Revenue Composition</w:t>
      </w:r>
    </w:p>
    <w:p>
      <w:r/>
      <w:r>
        <w:rPr>
          <w:b/>
        </w:rPr>
        <w:t>Basis of Preparation.</w:t>
      </w:r>
      <w:r>
        <w:t xml:space="preserve"> Each model was classified into one of four lifecycle categories based on its revenue history across the defined time windows. A model was classified as "New Entrant" (NE) if it had zero revenue in FY2021 (the earliest full-year period) but recorded positive revenue in LTM23. A model was classified as "Stable" if it generated revenue in both FY2021 and LTM23 with less than 30% revenue decline. A model was classified as "Bust" if it had positive revenue in FY2021 or PLTM22 but its revenue had declined by more than 50% from its peak and was negligible or zero in LTM23. The "Boom" classification identifies models that had a sharp peak and subsequent partial decline. Revenue was attributed to each lifecycle class by summing Venta Netas for all transactions involving models in that class within the relevant period. A total of 398 unique models were identified across the dataset.</w:t>
      </w:r>
    </w:p>
    <w:p>
      <w:r>
        <w:t>The portfolio encompasses 398 distinct models, with a lifecycle structure that reflects the brand's fashion-driven positioning. In LTM23, New Entrant models (109 SKUs) account for approximately 50–55% of total revenue (~€18–20m), making them by far the dominant lifecycle segment. Stable models (39 SKUs) — those with a continuous revenue track record from FY2021 through LTM23 — contribute 27.4% (€9.9m). The Bust cohort, which peaked in PLTM22 at €8.45m (representing models in terminal decline), has collapsed to just €2.06m in LTM23, generating a net headwind of approximately €6.4m that has been fully absorbed by the inflow of new NE model launches.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Lifecycle Category</w:t>
            </w:r>
          </w:p>
        </w:tc>
        <w:tc>
          <w:tcPr>
            <w:tcW w:type="dxa" w:w="1872"/>
            <w:shd w:val="clear" w:color="auto" w:fill="046A38"/>
          </w:tcPr>
          <w:p>
            <w:r>
              <w:rPr>
                <w:b/>
                <w:color w:val="FFFFFF"/>
              </w:rPr>
            </w:r>
            <w:r>
              <w:rPr>
                <w:rFonts w:ascii="Arial" w:hAnsi="Arial"/>
                <w:b/>
                <w:color w:val="FFFFFF"/>
                <w:sz w:val="20"/>
              </w:rPr>
              <w:t>LTM23 Revenue</w:t>
            </w:r>
          </w:p>
        </w:tc>
        <w:tc>
          <w:tcPr>
            <w:tcW w:type="dxa" w:w="1872"/>
            <w:shd w:val="clear" w:color="auto" w:fill="046A38"/>
          </w:tcPr>
          <w:p>
            <w:r>
              <w:rPr>
                <w:b/>
                <w:color w:val="FFFFFF"/>
              </w:rPr>
            </w:r>
            <w:r>
              <w:rPr>
                <w:rFonts w:ascii="Arial" w:hAnsi="Arial"/>
                <w:b/>
                <w:color w:val="FFFFFF"/>
                <w:sz w:val="20"/>
              </w:rPr>
              <w:t>LTM23 Share</w:t>
            </w:r>
          </w:p>
        </w:tc>
        <w:tc>
          <w:tcPr>
            <w:tcW w:type="dxa" w:w="1872"/>
            <w:shd w:val="clear" w:color="auto" w:fill="046A38"/>
          </w:tcPr>
          <w:p>
            <w:r>
              <w:rPr>
                <w:b/>
                <w:color w:val="FFFFFF"/>
              </w:rPr>
            </w:r>
            <w:r>
              <w:rPr>
                <w:rFonts w:ascii="Arial" w:hAnsi="Arial"/>
                <w:b/>
                <w:color w:val="FFFFFF"/>
                <w:sz w:val="20"/>
              </w:rPr>
              <w:t>Model Count</w:t>
            </w:r>
          </w:p>
        </w:tc>
        <w:tc>
          <w:tcPr>
            <w:tcW w:type="dxa" w:w="1872"/>
            <w:shd w:val="clear" w:color="auto" w:fill="046A38"/>
          </w:tcPr>
          <w:p>
            <w:r>
              <w:rPr>
                <w:b/>
                <w:color w:val="FFFFFF"/>
              </w:rPr>
            </w:r>
            <w:r>
              <w:rPr>
                <w:rFonts w:ascii="Arial" w:hAnsi="Arial"/>
                <w:b/>
                <w:color w:val="FFFFFF"/>
                <w:sz w:val="20"/>
              </w:rPr>
              <w:t>Median Active Lifespan</w:t>
            </w:r>
          </w:p>
        </w:tc>
      </w:tr>
      <w:tr>
        <w:tc>
          <w:tcPr>
            <w:tcW w:type="dxa" w:w="1872"/>
          </w:tcPr>
          <w:p>
            <w:r/>
            <w:r>
              <w:rPr>
                <w:rFonts w:ascii="Arial" w:hAnsi="Arial"/>
                <w:sz w:val="20"/>
              </w:rPr>
              <w:t>New Entrant (NE)</w:t>
            </w:r>
          </w:p>
        </w:tc>
        <w:tc>
          <w:tcPr>
            <w:tcW w:type="dxa" w:w="1872"/>
          </w:tcPr>
          <w:p>
            <w:r/>
            <w:r>
              <w:rPr>
                <w:rFonts w:ascii="Arial" w:hAnsi="Arial"/>
                <w:sz w:val="20"/>
              </w:rPr>
              <w:t>~€18–20m</w:t>
            </w:r>
          </w:p>
        </w:tc>
        <w:tc>
          <w:tcPr>
            <w:tcW w:type="dxa" w:w="1872"/>
          </w:tcPr>
          <w:p>
            <w:r/>
            <w:r>
              <w:rPr>
                <w:rFonts w:ascii="Arial" w:hAnsi="Arial"/>
                <w:sz w:val="20"/>
              </w:rPr>
              <w:t>~50–55%</w:t>
            </w:r>
          </w:p>
        </w:tc>
        <w:tc>
          <w:tcPr>
            <w:tcW w:type="dxa" w:w="1872"/>
          </w:tcPr>
          <w:p>
            <w:r/>
            <w:r>
              <w:rPr>
                <w:rFonts w:ascii="Arial" w:hAnsi="Arial"/>
                <w:sz w:val="20"/>
              </w:rPr>
              <w:t>109 SKUs</w:t>
            </w:r>
          </w:p>
        </w:tc>
        <w:tc>
          <w:tcPr>
            <w:tcW w:type="dxa" w:w="1872"/>
          </w:tcPr>
          <w:p>
            <w:r/>
            <w:r>
              <w:rPr>
                <w:rFonts w:ascii="Arial" w:hAnsi="Arial"/>
                <w:sz w:val="20"/>
              </w:rPr>
              <w:t>~7 months</w:t>
            </w:r>
          </w:p>
        </w:tc>
      </w:tr>
      <w:tr>
        <w:tc>
          <w:tcPr>
            <w:tcW w:type="dxa" w:w="1872"/>
          </w:tcPr>
          <w:p>
            <w:r/>
            <w:r>
              <w:rPr>
                <w:rFonts w:ascii="Arial" w:hAnsi="Arial"/>
                <w:sz w:val="20"/>
              </w:rPr>
              <w:t>Stable</w:t>
            </w:r>
          </w:p>
        </w:tc>
        <w:tc>
          <w:tcPr>
            <w:tcW w:type="dxa" w:w="1872"/>
          </w:tcPr>
          <w:p>
            <w:r/>
            <w:r>
              <w:rPr>
                <w:rFonts w:ascii="Arial" w:hAnsi="Arial"/>
                <w:sz w:val="20"/>
              </w:rPr>
              <w:t>€9.9m</w:t>
            </w:r>
          </w:p>
        </w:tc>
        <w:tc>
          <w:tcPr>
            <w:tcW w:type="dxa" w:w="1872"/>
          </w:tcPr>
          <w:p>
            <w:r/>
            <w:r>
              <w:rPr>
                <w:rFonts w:ascii="Arial" w:hAnsi="Arial"/>
                <w:sz w:val="20"/>
              </w:rPr>
              <w:t>27.4%</w:t>
            </w:r>
          </w:p>
        </w:tc>
        <w:tc>
          <w:tcPr>
            <w:tcW w:type="dxa" w:w="1872"/>
          </w:tcPr>
          <w:p>
            <w:r/>
            <w:r>
              <w:rPr>
                <w:rFonts w:ascii="Arial" w:hAnsi="Arial"/>
                <w:sz w:val="20"/>
              </w:rPr>
              <w:t>39 SKUs</w:t>
            </w:r>
          </w:p>
        </w:tc>
        <w:tc>
          <w:tcPr>
            <w:tcW w:type="dxa" w:w="1872"/>
          </w:tcPr>
          <w:p>
            <w:r/>
            <w:r>
              <w:rPr>
                <w:rFonts w:ascii="Arial" w:hAnsi="Arial"/>
                <w:sz w:val="20"/>
              </w:rPr>
              <w:t>~18 months</w:t>
            </w:r>
          </w:p>
        </w:tc>
      </w:tr>
      <w:tr>
        <w:tc>
          <w:tcPr>
            <w:tcW w:type="dxa" w:w="1872"/>
          </w:tcPr>
          <w:p>
            <w:r/>
            <w:r>
              <w:rPr>
                <w:rFonts w:ascii="Arial" w:hAnsi="Arial"/>
                <w:sz w:val="20"/>
              </w:rPr>
              <w:t>Bust</w:t>
            </w:r>
          </w:p>
        </w:tc>
        <w:tc>
          <w:tcPr>
            <w:tcW w:type="dxa" w:w="1872"/>
          </w:tcPr>
          <w:p>
            <w:r/>
            <w:r>
              <w:rPr>
                <w:rFonts w:ascii="Arial" w:hAnsi="Arial"/>
                <w:sz w:val="20"/>
              </w:rPr>
              <w:t>€2.1m</w:t>
            </w:r>
          </w:p>
        </w:tc>
        <w:tc>
          <w:tcPr>
            <w:tcW w:type="dxa" w:w="1872"/>
          </w:tcPr>
          <w:p>
            <w:r/>
            <w:r>
              <w:rPr>
                <w:rFonts w:ascii="Arial" w:hAnsi="Arial"/>
                <w:sz w:val="20"/>
              </w:rPr>
              <w:t>~5.9%</w:t>
            </w:r>
          </w:p>
        </w:tc>
        <w:tc>
          <w:tcPr>
            <w:tcW w:type="dxa" w:w="1872"/>
          </w:tcPr>
          <w:p>
            <w:r/>
            <w:r>
              <w:rPr>
                <w:rFonts w:ascii="Arial" w:hAnsi="Arial"/>
                <w:sz w:val="20"/>
              </w:rPr>
              <w:t>—</w:t>
            </w:r>
          </w:p>
        </w:tc>
        <w:tc>
          <w:tcPr>
            <w:tcW w:type="dxa" w:w="1872"/>
          </w:tcPr>
          <w:p>
            <w:r/>
            <w:r>
              <w:rPr>
                <w:rFonts w:ascii="Arial" w:hAnsi="Arial"/>
                <w:sz w:val="20"/>
              </w:rPr>
              <w:t>—</w:t>
            </w:r>
          </w:p>
        </w:tc>
      </w:tr>
      <w:tr>
        <w:tc>
          <w:tcPr>
            <w:tcW w:type="dxa" w:w="1872"/>
          </w:tcPr>
          <w:p>
            <w:r/>
            <w:r>
              <w:rPr>
                <w:rFonts w:ascii="Arial" w:hAnsi="Arial"/>
                <w:sz w:val="20"/>
              </w:rPr>
              <w:t>Other/Legacy</w:t>
            </w:r>
          </w:p>
        </w:tc>
        <w:tc>
          <w:tcPr>
            <w:tcW w:type="dxa" w:w="1872"/>
          </w:tcPr>
          <w:p>
            <w:r/>
            <w:r>
              <w:rPr>
                <w:rFonts w:ascii="Arial" w:hAnsi="Arial"/>
                <w:sz w:val="20"/>
              </w:rPr>
              <w:t>~€4.1m</w:t>
            </w:r>
          </w:p>
        </w:tc>
        <w:tc>
          <w:tcPr>
            <w:tcW w:type="dxa" w:w="1872"/>
          </w:tcPr>
          <w:p>
            <w:r/>
            <w:r>
              <w:rPr>
                <w:rFonts w:ascii="Arial" w:hAnsi="Arial"/>
                <w:sz w:val="20"/>
              </w:rPr>
              <w:t>~11.4%</w:t>
            </w:r>
          </w:p>
        </w:tc>
        <w:tc>
          <w:tcPr>
            <w:tcW w:type="dxa" w:w="1872"/>
          </w:tcPr>
          <w:p>
            <w:r/>
            <w:r>
              <w:rPr>
                <w:rFonts w:ascii="Arial" w:hAnsi="Arial"/>
                <w:sz w:val="20"/>
              </w:rPr>
              <w:t>—</w:t>
            </w:r>
          </w:p>
        </w:tc>
        <w:tc>
          <w:tcPr>
            <w:tcW w:type="dxa" w:w="1872"/>
          </w:tcPr>
          <w:p>
            <w:r/>
            <w:r>
              <w:rPr>
                <w:rFonts w:ascii="Arial" w:hAnsi="Arial"/>
                <w:sz w:val="20"/>
              </w:rPr>
              <w:t>—</w:t>
            </w:r>
          </w:p>
        </w:tc>
      </w:tr>
    </w:tbl>
    <w:p/>
    <w:p>
      <w:r>
        <w:t>The contrast in lifespan between Stable (median 18 months active) and New Entrant (median 7 months active) models is the defining structural characteristic of this portfolio. Stable models also exhibit a distinctive revenue curve that continues building to approximately month 25 after introduction, creating compounding revenue over time. NE models, by contrast, peak at a median of month 3 post-launch and enter a rapid decline phase thereafter. The Bust cohort mirrors the NE decay pattern, confirming that today's NE models are tomorrow's Bust cohort absent an unusual durability profile.</w:t>
      </w:r>
    </w:p>
    <w:p>
      <w:r>
        <w:drawing>
          <wp:inline xmlns:a="http://schemas.openxmlformats.org/drawingml/2006/main" xmlns:pic="http://schemas.openxmlformats.org/drawingml/2006/picture">
            <wp:extent cx="5486400" cy="2424351"/>
            <wp:docPr id="8" name="Picture 8"/>
            <wp:cNvGraphicFramePr>
              <a:graphicFrameLocks noChangeAspect="1"/>
            </wp:cNvGraphicFramePr>
            <a:graphic>
              <a:graphicData uri="http://schemas.openxmlformats.org/drawingml/2006/picture">
                <pic:pic>
                  <pic:nvPicPr>
                    <pic:cNvPr id="0" name="iter1_product_lifecycle_analysis.png"/>
                    <pic:cNvPicPr/>
                  </pic:nvPicPr>
                  <pic:blipFill>
                    <a:blip r:embed="rId16"/>
                    <a:stretch>
                      <a:fillRect/>
                    </a:stretch>
                  </pic:blipFill>
                  <pic:spPr>
                    <a:xfrm>
                      <a:off x="0" y="0"/>
                      <a:ext cx="5486400" cy="2424351"/>
                    </a:xfrm>
                    <a:prstGeom prst="rect"/>
                  </pic:spPr>
                </pic:pic>
              </a:graphicData>
            </a:graphic>
          </wp:inline>
        </w:drawing>
      </w:r>
    </w:p>
    <w:p>
      <w:pPr>
        <w:pStyle w:val="Heading3"/>
      </w:pPr>
      <w:r>
        <w:rPr>
          <w:rFonts w:ascii="Arial" w:hAnsi="Arial"/>
          <w:color w:val="26890D"/>
        </w:rPr>
        <w:t>3.2 New Entrant Model Velocity and Post-Peak Retention</w:t>
      </w:r>
    </w:p>
    <w:p>
      <w:r/>
      <w:r>
        <w:rPr>
          <w:b/>
        </w:rPr>
        <w:t>Basis of Preparation.</w:t>
      </w:r>
      <w:r>
        <w:t xml:space="preserve"> For each NE model, the calendar month of maximum revenue was identified as the "peak month." Post-peak retention ratios were then computed at +1 month, +2 months, +3 months, and +6 months relative to peak, defined as the revenue in that post-peak month divided by peak-month revenue. Models with insufficient observation months post-peak (i.e., still in ascending phase or with fewer than three months of post-peak data) were excluded from the relevant retention calculations. Of 123 NE models active in LTM23, 97 had sufficient post-peak data for retention analysis. The median time-to-peak was identified as month 3 from first recorded revenue.</w:t>
      </w:r>
    </w:p>
    <w:p>
      <w:r>
        <w:t>Post-peak revenue decay in NE models is swift and severe. The average NE model retains 45% of peak revenue at one month post-peak, 32% at two months, 26% at three months, and 17% at six months. By nine months post-peak, effective revenue contribution is negligible for the majority of models. Critically, 97% of all NE models have already passed their revenue peak within the LTM23 observation window, confirming that the portfolio is operating in perpetual substitution mode: the business is not growing through the compound maturation of new models into durable revenue streams, but through the constant introduction of new launches to replace those that have faded.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Months Post-Peak</w:t>
            </w:r>
          </w:p>
        </w:tc>
        <w:tc>
          <w:tcPr>
            <w:tcW w:type="dxa" w:w="3120"/>
            <w:shd w:val="clear" w:color="auto" w:fill="046A38"/>
          </w:tcPr>
          <w:p>
            <w:r>
              <w:rPr>
                <w:b/>
                <w:color w:val="FFFFFF"/>
              </w:rPr>
            </w:r>
            <w:r>
              <w:rPr>
                <w:rFonts w:ascii="Arial" w:hAnsi="Arial"/>
                <w:b/>
                <w:color w:val="FFFFFF"/>
                <w:sz w:val="20"/>
              </w:rPr>
              <w:t>Average NE Retention</w:t>
            </w:r>
          </w:p>
        </w:tc>
        <w:tc>
          <w:tcPr>
            <w:tcW w:type="dxa" w:w="3120"/>
            <w:shd w:val="clear" w:color="auto" w:fill="046A38"/>
          </w:tcPr>
          <w:p>
            <w:r>
              <w:rPr>
                <w:b/>
                <w:color w:val="FFFFFF"/>
              </w:rPr>
            </w:r>
            <w:r>
              <w:rPr>
                <w:rFonts w:ascii="Arial" w:hAnsi="Arial"/>
                <w:b/>
                <w:color w:val="FFFFFF"/>
                <w:sz w:val="20"/>
              </w:rPr>
              <w:t>Stable Models (Reference)</w:t>
            </w:r>
          </w:p>
        </w:tc>
      </w:tr>
      <w:tr>
        <w:tc>
          <w:tcPr>
            <w:tcW w:type="dxa" w:w="3120"/>
          </w:tcPr>
          <w:p>
            <w:r/>
            <w:r>
              <w:rPr>
                <w:rFonts w:ascii="Arial" w:hAnsi="Arial"/>
                <w:sz w:val="20"/>
              </w:rPr>
              <w:t>Peak month</w:t>
            </w:r>
          </w:p>
        </w:tc>
        <w:tc>
          <w:tcPr>
            <w:tcW w:type="dxa" w:w="3120"/>
          </w:tcPr>
          <w:p>
            <w:r/>
            <w:r>
              <w:rPr>
                <w:rFonts w:ascii="Arial" w:hAnsi="Arial"/>
                <w:sz w:val="20"/>
              </w:rPr>
              <w:t>100%</w:t>
            </w:r>
          </w:p>
        </w:tc>
        <w:tc>
          <w:tcPr>
            <w:tcW w:type="dxa" w:w="3120"/>
          </w:tcPr>
          <w:p>
            <w:r/>
            <w:r>
              <w:rPr>
                <w:rFonts w:ascii="Arial" w:hAnsi="Arial"/>
                <w:sz w:val="20"/>
              </w:rPr>
              <w:t>100%</w:t>
            </w:r>
          </w:p>
        </w:tc>
      </w:tr>
      <w:tr>
        <w:tc>
          <w:tcPr>
            <w:tcW w:type="dxa" w:w="3120"/>
          </w:tcPr>
          <w:p>
            <w:r/>
            <w:r>
              <w:rPr>
                <w:rFonts w:ascii="Arial" w:hAnsi="Arial"/>
                <w:sz w:val="20"/>
              </w:rPr>
              <w:t>+1 month</w:t>
            </w:r>
          </w:p>
        </w:tc>
        <w:tc>
          <w:tcPr>
            <w:tcW w:type="dxa" w:w="3120"/>
          </w:tcPr>
          <w:p>
            <w:r/>
            <w:r>
              <w:rPr>
                <w:rFonts w:ascii="Arial" w:hAnsi="Arial"/>
                <w:sz w:val="20"/>
              </w:rPr>
              <w:t>45%</w:t>
            </w:r>
          </w:p>
        </w:tc>
        <w:tc>
          <w:tcPr>
            <w:tcW w:type="dxa" w:w="3120"/>
          </w:tcPr>
          <w:p>
            <w:r/>
            <w:r>
              <w:rPr>
                <w:rFonts w:ascii="Arial" w:hAnsi="Arial"/>
                <w:sz w:val="20"/>
              </w:rPr>
              <w:t>~95%</w:t>
            </w:r>
          </w:p>
        </w:tc>
      </w:tr>
      <w:tr>
        <w:tc>
          <w:tcPr>
            <w:tcW w:type="dxa" w:w="3120"/>
          </w:tcPr>
          <w:p>
            <w:r/>
            <w:r>
              <w:rPr>
                <w:rFonts w:ascii="Arial" w:hAnsi="Arial"/>
                <w:sz w:val="20"/>
              </w:rPr>
              <w:t>+2 months</w:t>
            </w:r>
          </w:p>
        </w:tc>
        <w:tc>
          <w:tcPr>
            <w:tcW w:type="dxa" w:w="3120"/>
          </w:tcPr>
          <w:p>
            <w:r/>
            <w:r>
              <w:rPr>
                <w:rFonts w:ascii="Arial" w:hAnsi="Arial"/>
                <w:sz w:val="20"/>
              </w:rPr>
              <w:t>32%</w:t>
            </w:r>
          </w:p>
        </w:tc>
        <w:tc>
          <w:tcPr>
            <w:tcW w:type="dxa" w:w="3120"/>
          </w:tcPr>
          <w:p>
            <w:r/>
            <w:r>
              <w:rPr>
                <w:rFonts w:ascii="Arial" w:hAnsi="Arial"/>
                <w:sz w:val="20"/>
              </w:rPr>
              <w:t>~90%</w:t>
            </w:r>
          </w:p>
        </w:tc>
      </w:tr>
      <w:tr>
        <w:tc>
          <w:tcPr>
            <w:tcW w:type="dxa" w:w="3120"/>
          </w:tcPr>
          <w:p>
            <w:r/>
            <w:r>
              <w:rPr>
                <w:rFonts w:ascii="Arial" w:hAnsi="Arial"/>
                <w:sz w:val="20"/>
              </w:rPr>
              <w:t>+3 months</w:t>
            </w:r>
          </w:p>
        </w:tc>
        <w:tc>
          <w:tcPr>
            <w:tcW w:type="dxa" w:w="3120"/>
          </w:tcPr>
          <w:p>
            <w:r/>
            <w:r>
              <w:rPr>
                <w:rFonts w:ascii="Arial" w:hAnsi="Arial"/>
                <w:sz w:val="20"/>
              </w:rPr>
              <w:t>26%</w:t>
            </w:r>
          </w:p>
        </w:tc>
        <w:tc>
          <w:tcPr>
            <w:tcW w:type="dxa" w:w="3120"/>
          </w:tcPr>
          <w:p>
            <w:r/>
            <w:r>
              <w:rPr>
                <w:rFonts w:ascii="Arial" w:hAnsi="Arial"/>
                <w:sz w:val="20"/>
              </w:rPr>
              <w:t>~85%</w:t>
            </w:r>
          </w:p>
        </w:tc>
      </w:tr>
      <w:tr>
        <w:tc>
          <w:tcPr>
            <w:tcW w:type="dxa" w:w="3120"/>
          </w:tcPr>
          <w:p>
            <w:r/>
            <w:r>
              <w:rPr>
                <w:rFonts w:ascii="Arial" w:hAnsi="Arial"/>
                <w:sz w:val="20"/>
              </w:rPr>
              <w:t>+6 months</w:t>
            </w:r>
          </w:p>
        </w:tc>
        <w:tc>
          <w:tcPr>
            <w:tcW w:type="dxa" w:w="3120"/>
          </w:tcPr>
          <w:p>
            <w:r/>
            <w:r>
              <w:rPr>
                <w:rFonts w:ascii="Arial" w:hAnsi="Arial"/>
                <w:sz w:val="20"/>
              </w:rPr>
              <w:t>17%</w:t>
            </w:r>
          </w:p>
        </w:tc>
        <w:tc>
          <w:tcPr>
            <w:tcW w:type="dxa" w:w="3120"/>
          </w:tcPr>
          <w:p>
            <w:r/>
            <w:r>
              <w:rPr>
                <w:rFonts w:ascii="Arial" w:hAnsi="Arial"/>
                <w:sz w:val="20"/>
              </w:rPr>
              <w:t>~70%</w:t>
            </w:r>
          </w:p>
        </w:tc>
      </w:tr>
    </w:tbl>
    <w:p/>
    <w:p>
      <w:r>
        <w:drawing>
          <wp:inline xmlns:a="http://schemas.openxmlformats.org/drawingml/2006/main" xmlns:pic="http://schemas.openxmlformats.org/drawingml/2006/picture">
            <wp:extent cx="5486400" cy="2938940"/>
            <wp:docPr id="9" name="Picture 9"/>
            <wp:cNvGraphicFramePr>
              <a:graphicFrameLocks noChangeAspect="1"/>
            </wp:cNvGraphicFramePr>
            <a:graphic>
              <a:graphicData uri="http://schemas.openxmlformats.org/drawingml/2006/picture">
                <pic:pic>
                  <pic:nvPicPr>
                    <pic:cNvPr id="0" name="iter2_post_peak_retention_by_lifecycle.png"/>
                    <pic:cNvPicPr/>
                  </pic:nvPicPr>
                  <pic:blipFill>
                    <a:blip r:embed="rId17"/>
                    <a:stretch>
                      <a:fillRect/>
                    </a:stretch>
                  </pic:blipFill>
                  <pic:spPr>
                    <a:xfrm>
                      <a:off x="0" y="0"/>
                      <a:ext cx="5486400" cy="2938940"/>
                    </a:xfrm>
                    <a:prstGeom prst="rect"/>
                  </pic:spPr>
                </pic:pic>
              </a:graphicData>
            </a:graphic>
          </wp:inline>
        </w:drawing>
      </w:r>
    </w:p>
    <w:p>
      <w:r>
        <w:drawing>
          <wp:inline xmlns:a="http://schemas.openxmlformats.org/drawingml/2006/main" xmlns:pic="http://schemas.openxmlformats.org/drawingml/2006/picture">
            <wp:extent cx="5486400" cy="2532185"/>
            <wp:docPr id="10" name="Picture 10"/>
            <wp:cNvGraphicFramePr>
              <a:graphicFrameLocks noChangeAspect="1"/>
            </wp:cNvGraphicFramePr>
            <a:graphic>
              <a:graphicData uri="http://schemas.openxmlformats.org/drawingml/2006/picture">
                <pic:pic>
                  <pic:nvPicPr>
                    <pic:cNvPr id="0" name="iter2_ne_cohort_revenue_decay.png"/>
                    <pic:cNvPicPr/>
                  </pic:nvPicPr>
                  <pic:blipFill>
                    <a:blip r:embed="rId18"/>
                    <a:stretch>
                      <a:fillRect/>
                    </a:stretch>
                  </pic:blipFill>
                  <pic:spPr>
                    <a:xfrm>
                      <a:off x="0" y="0"/>
                      <a:ext cx="5486400" cy="2532185"/>
                    </a:xfrm>
                    <a:prstGeom prst="rect"/>
                  </pic:spPr>
                </pic:pic>
              </a:graphicData>
            </a:graphic>
          </wp:inline>
        </w:drawing>
      </w:r>
    </w:p>
    <w:p>
      <w:pPr>
        <w:pStyle w:val="Heading3"/>
      </w:pPr>
      <w:r>
        <w:rPr>
          <w:rFonts w:ascii="Arial" w:hAnsi="Arial"/>
          <w:color w:val="26890D"/>
        </w:rPr>
        <w:t>3.3 Durability Segmentation: Durable, Mid-Tier, and Transient NE Models</w:t>
      </w:r>
    </w:p>
    <w:p>
      <w:r/>
      <w:r>
        <w:rPr>
          <w:b/>
        </w:rPr>
        <w:t>Basis of Preparation.</w:t>
      </w:r>
      <w:r>
        <w:t xml:space="preserve"> The 97 NE models with sufficient post-peak data were segmented into three durability cohorts based on their three-month post-peak revenue retention ratio: Durable (≥40% retention at +3 months), Mid-tier (20–40%), and Transient (&lt;20%). This threshold reflects the observed empirical distribution: 40% retention at +3m approximates the decay profile of Stable models at the same elapsed time, making it a natural boundary for "Stable-like" behaviour. Revenue and model counts were then summed within each cohort for the LTM23 window. Predictive analysis tested the correlation between launch ASP (price tier), launch-month revenue velocity (M1 revenue), and the +3m retention outcome using Pearson correlation coefficients.</w:t>
      </w:r>
    </w:p>
    <w:p>
      <w:r>
        <w:t>Of the 97 NE models with durability data, 18 (18.6%) qualify as Durable, 32 (33.0%) as Mid-tier, and 47 (48.5%) as Transient. The Transient cohort generates €6.27m in LTM23 revenue — a large contribution that is structurally fragile — while the Durable cohort accounts for €4.60m. Despite representing fewer than one in five NE models, Durable models produce proportionately higher long-term revenue due to their sustained trajectory.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Durability Class</w:t>
            </w:r>
          </w:p>
        </w:tc>
        <w:tc>
          <w:tcPr>
            <w:tcW w:type="dxa" w:w="1872"/>
            <w:shd w:val="clear" w:color="auto" w:fill="046A38"/>
          </w:tcPr>
          <w:p>
            <w:r>
              <w:rPr>
                <w:b/>
                <w:color w:val="FFFFFF"/>
              </w:rPr>
            </w:r>
            <w:r>
              <w:rPr>
                <w:rFonts w:ascii="Arial" w:hAnsi="Arial"/>
                <w:b/>
                <w:color w:val="FFFFFF"/>
                <w:sz w:val="20"/>
              </w:rPr>
              <w:t>Model Count</w:t>
            </w:r>
          </w:p>
        </w:tc>
        <w:tc>
          <w:tcPr>
            <w:tcW w:type="dxa" w:w="1872"/>
            <w:shd w:val="clear" w:color="auto" w:fill="046A38"/>
          </w:tcPr>
          <w:p>
            <w:r>
              <w:rPr>
                <w:b/>
                <w:color w:val="FFFFFF"/>
              </w:rPr>
            </w:r>
            <w:r>
              <w:rPr>
                <w:rFonts w:ascii="Arial" w:hAnsi="Arial"/>
                <w:b/>
                <w:color w:val="FFFFFF"/>
                <w:sz w:val="20"/>
              </w:rPr>
              <w:t>Share</w:t>
            </w:r>
          </w:p>
        </w:tc>
        <w:tc>
          <w:tcPr>
            <w:tcW w:type="dxa" w:w="1872"/>
            <w:shd w:val="clear" w:color="auto" w:fill="046A38"/>
          </w:tcPr>
          <w:p>
            <w:r>
              <w:rPr>
                <w:b/>
                <w:color w:val="FFFFFF"/>
              </w:rPr>
            </w:r>
            <w:r>
              <w:rPr>
                <w:rFonts w:ascii="Arial" w:hAnsi="Arial"/>
                <w:b/>
                <w:color w:val="FFFFFF"/>
                <w:sz w:val="20"/>
              </w:rPr>
              <w:t>LTM23 Revenue</w:t>
            </w:r>
          </w:p>
        </w:tc>
        <w:tc>
          <w:tcPr>
            <w:tcW w:type="dxa" w:w="1872"/>
            <w:shd w:val="clear" w:color="auto" w:fill="046A38"/>
          </w:tcPr>
          <w:p>
            <w:r>
              <w:rPr>
                <w:b/>
                <w:color w:val="FFFFFF"/>
              </w:rPr>
            </w:r>
            <w:r>
              <w:rPr>
                <w:rFonts w:ascii="Arial" w:hAnsi="Arial"/>
                <w:b/>
                <w:color w:val="FFFFFF"/>
                <w:sz w:val="20"/>
              </w:rPr>
              <w:t>Avg +3m Retention</w:t>
            </w:r>
          </w:p>
        </w:tc>
      </w:tr>
      <w:tr>
        <w:tc>
          <w:tcPr>
            <w:tcW w:type="dxa" w:w="1872"/>
          </w:tcPr>
          <w:p>
            <w:r/>
            <w:r>
              <w:rPr>
                <w:rFonts w:ascii="Arial" w:hAnsi="Arial"/>
                <w:sz w:val="20"/>
              </w:rPr>
              <w:t>Durable (≥40%)</w:t>
            </w:r>
          </w:p>
        </w:tc>
        <w:tc>
          <w:tcPr>
            <w:tcW w:type="dxa" w:w="1872"/>
          </w:tcPr>
          <w:p>
            <w:r/>
            <w:r>
              <w:rPr>
                <w:rFonts w:ascii="Arial" w:hAnsi="Arial"/>
                <w:sz w:val="20"/>
              </w:rPr>
              <w:t>18</w:t>
            </w:r>
          </w:p>
        </w:tc>
        <w:tc>
          <w:tcPr>
            <w:tcW w:type="dxa" w:w="1872"/>
          </w:tcPr>
          <w:p>
            <w:r/>
            <w:r>
              <w:rPr>
                <w:rFonts w:ascii="Arial" w:hAnsi="Arial"/>
                <w:sz w:val="20"/>
              </w:rPr>
              <w:t>18.6%</w:t>
            </w:r>
          </w:p>
        </w:tc>
        <w:tc>
          <w:tcPr>
            <w:tcW w:type="dxa" w:w="1872"/>
          </w:tcPr>
          <w:p>
            <w:r/>
            <w:r>
              <w:rPr>
                <w:rFonts w:ascii="Arial" w:hAnsi="Arial"/>
                <w:sz w:val="20"/>
              </w:rPr>
              <w:t>€4.60m</w:t>
            </w:r>
          </w:p>
        </w:tc>
        <w:tc>
          <w:tcPr>
            <w:tcW w:type="dxa" w:w="1872"/>
          </w:tcPr>
          <w:p>
            <w:r/>
            <w:r>
              <w:rPr>
                <w:rFonts w:ascii="Arial" w:hAnsi="Arial"/>
                <w:sz w:val="20"/>
              </w:rPr>
              <w:t>~60%+</w:t>
            </w:r>
          </w:p>
        </w:tc>
      </w:tr>
      <w:tr>
        <w:tc>
          <w:tcPr>
            <w:tcW w:type="dxa" w:w="1872"/>
          </w:tcPr>
          <w:p>
            <w:r/>
            <w:r>
              <w:rPr>
                <w:rFonts w:ascii="Arial" w:hAnsi="Arial"/>
                <w:sz w:val="20"/>
              </w:rPr>
              <w:t>Mid-tier (20–40%)</w:t>
            </w:r>
          </w:p>
        </w:tc>
        <w:tc>
          <w:tcPr>
            <w:tcW w:type="dxa" w:w="1872"/>
          </w:tcPr>
          <w:p>
            <w:r/>
            <w:r>
              <w:rPr>
                <w:rFonts w:ascii="Arial" w:hAnsi="Arial"/>
                <w:sz w:val="20"/>
              </w:rPr>
              <w:t>32</w:t>
            </w:r>
          </w:p>
        </w:tc>
        <w:tc>
          <w:tcPr>
            <w:tcW w:type="dxa" w:w="1872"/>
          </w:tcPr>
          <w:p>
            <w:r/>
            <w:r>
              <w:rPr>
                <w:rFonts w:ascii="Arial" w:hAnsi="Arial"/>
                <w:sz w:val="20"/>
              </w:rPr>
              <w:t>33.0%</w:t>
            </w:r>
          </w:p>
        </w:tc>
        <w:tc>
          <w:tcPr>
            <w:tcW w:type="dxa" w:w="1872"/>
          </w:tcPr>
          <w:p>
            <w:r/>
            <w:r>
              <w:rPr>
                <w:rFonts w:ascii="Arial" w:hAnsi="Arial"/>
                <w:sz w:val="20"/>
              </w:rPr>
              <w:t>€6.17m</w:t>
            </w:r>
          </w:p>
        </w:tc>
        <w:tc>
          <w:tcPr>
            <w:tcW w:type="dxa" w:w="1872"/>
          </w:tcPr>
          <w:p>
            <w:r/>
            <w:r>
              <w:rPr>
                <w:rFonts w:ascii="Arial" w:hAnsi="Arial"/>
                <w:sz w:val="20"/>
              </w:rPr>
              <w:t>~29%</w:t>
            </w:r>
          </w:p>
        </w:tc>
      </w:tr>
      <w:tr>
        <w:tc>
          <w:tcPr>
            <w:tcW w:type="dxa" w:w="1872"/>
          </w:tcPr>
          <w:p>
            <w:r/>
            <w:r>
              <w:rPr>
                <w:rFonts w:ascii="Arial" w:hAnsi="Arial"/>
                <w:sz w:val="20"/>
              </w:rPr>
              <w:t>Transient (&lt;20%)</w:t>
            </w:r>
          </w:p>
        </w:tc>
        <w:tc>
          <w:tcPr>
            <w:tcW w:type="dxa" w:w="1872"/>
          </w:tcPr>
          <w:p>
            <w:r/>
            <w:r>
              <w:rPr>
                <w:rFonts w:ascii="Arial" w:hAnsi="Arial"/>
                <w:sz w:val="20"/>
              </w:rPr>
              <w:t>47</w:t>
            </w:r>
          </w:p>
        </w:tc>
        <w:tc>
          <w:tcPr>
            <w:tcW w:type="dxa" w:w="1872"/>
          </w:tcPr>
          <w:p>
            <w:r/>
            <w:r>
              <w:rPr>
                <w:rFonts w:ascii="Arial" w:hAnsi="Arial"/>
                <w:sz w:val="20"/>
              </w:rPr>
              <w:t>48.5%</w:t>
            </w:r>
          </w:p>
        </w:tc>
        <w:tc>
          <w:tcPr>
            <w:tcW w:type="dxa" w:w="1872"/>
          </w:tcPr>
          <w:p>
            <w:r/>
            <w:r>
              <w:rPr>
                <w:rFonts w:ascii="Arial" w:hAnsi="Arial"/>
                <w:sz w:val="20"/>
              </w:rPr>
              <w:t>€6.27m</w:t>
            </w:r>
          </w:p>
        </w:tc>
        <w:tc>
          <w:tcPr>
            <w:tcW w:type="dxa" w:w="1872"/>
          </w:tcPr>
          <w:p>
            <w:r/>
            <w:r>
              <w:rPr>
                <w:rFonts w:ascii="Arial" w:hAnsi="Arial"/>
                <w:sz w:val="20"/>
              </w:rPr>
              <w:t>~12%</w:t>
            </w:r>
          </w:p>
        </w:tc>
      </w:tr>
    </w:tbl>
    <w:p/>
    <w:p>
      <w:r>
        <w:t>The leading Durable NE models in LTM23 are SEOUL (all-channel revenue €926k, 85% retention at +3m), MILWAUKEE (€729k), and ATLANTIC CITY (€445k). These models — city-named per the brand's universal naming convention — demonstrate that a minority of launches can achieve Stable-model-like trajectories. The top Transient models include EDINBURGH (€516k, 18% retention at +3m), GREENLAND (€247k, 4%), and GRAND PLACE (€227k, 10%), all of which are generating significant near-term revenue but are on trajectories pointing toward rapid decay.</w:t>
      </w:r>
    </w:p>
    <w:p>
      <w:r>
        <w:t>The most strategically concerning finding from this analysis is the absence of a reliable predictor for model durability. Neither launch ASP (Pearson r = –0.087) nor launch-month revenue velocity (r = +0.119) provides meaningful advance signal. Counter-intuitively, the lowest-ASP quartile (average €23) yields the highest Durable rate at 36%, while the highest-ASP quartile (average €60) yields only 16.7%. This inverse relationship suggests that lower-priced models may benefit from higher volume accessibility and broader wholesale stocking, creating a self-reinforcing demand base, whereas premium-priced NE models face higher substitution risk or narrower distribution. The absence of predictive signals means the business cannot systematically identify its future Durable models at launch — an important constraint on production planning, inventory management, and client assortment strategy.</w:t>
      </w:r>
    </w:p>
    <w:p>
      <w:r>
        <w:drawing>
          <wp:inline xmlns:a="http://schemas.openxmlformats.org/drawingml/2006/main" xmlns:pic="http://schemas.openxmlformats.org/drawingml/2006/picture">
            <wp:extent cx="5486400" cy="2107496"/>
            <wp:docPr id="11" name="Picture 11"/>
            <wp:cNvGraphicFramePr>
              <a:graphicFrameLocks noChangeAspect="1"/>
            </wp:cNvGraphicFramePr>
            <a:graphic>
              <a:graphicData uri="http://schemas.openxmlformats.org/drawingml/2006/picture">
                <pic:pic>
                  <pic:nvPicPr>
                    <pic:cNvPr id="0" name="iter3_durability_by_tier.png"/>
                    <pic:cNvPicPr/>
                  </pic:nvPicPr>
                  <pic:blipFill>
                    <a:blip r:embed="rId19"/>
                    <a:stretch>
                      <a:fillRect/>
                    </a:stretch>
                  </pic:blipFill>
                  <pic:spPr>
                    <a:xfrm>
                      <a:off x="0" y="0"/>
                      <a:ext cx="5486400" cy="2107496"/>
                    </a:xfrm>
                    <a:prstGeom prst="rect"/>
                  </pic:spPr>
                </pic:pic>
              </a:graphicData>
            </a:graphic>
          </wp:inline>
        </w:drawing>
      </w:r>
    </w:p>
    <w:p>
      <w:r>
        <w:drawing>
          <wp:inline xmlns:a="http://schemas.openxmlformats.org/drawingml/2006/main" xmlns:pic="http://schemas.openxmlformats.org/drawingml/2006/picture">
            <wp:extent cx="5486400" cy="2455291"/>
            <wp:docPr id="12" name="Picture 12"/>
            <wp:cNvGraphicFramePr>
              <a:graphicFrameLocks noChangeAspect="1"/>
            </wp:cNvGraphicFramePr>
            <a:graphic>
              <a:graphicData uri="http://schemas.openxmlformats.org/drawingml/2006/picture">
                <pic:pic>
                  <pic:nvPicPr>
                    <pic:cNvPr id="0" name="iter3_durable_vs_transient_trajectories.png"/>
                    <pic:cNvPicPr/>
                  </pic:nvPicPr>
                  <pic:blipFill>
                    <a:blip r:embed="rId20"/>
                    <a:stretch>
                      <a:fillRect/>
                    </a:stretch>
                  </pic:blipFill>
                  <pic:spPr>
                    <a:xfrm>
                      <a:off x="0" y="0"/>
                      <a:ext cx="5486400" cy="2455291"/>
                    </a:xfrm>
                    <a:prstGeom prst="rect"/>
                  </pic:spPr>
                </pic:pic>
              </a:graphicData>
            </a:graphic>
          </wp:inline>
        </w:drawing>
      </w:r>
    </w:p>
    <w:p>
      <w:r>
        <w:drawing>
          <wp:inline xmlns:a="http://schemas.openxmlformats.org/drawingml/2006/main" xmlns:pic="http://schemas.openxmlformats.org/drawingml/2006/picture">
            <wp:extent cx="5486400" cy="2455291"/>
            <wp:docPr id="13" name="Picture 13"/>
            <wp:cNvGraphicFramePr>
              <a:graphicFrameLocks noChangeAspect="1"/>
            </wp:cNvGraphicFramePr>
            <a:graphic>
              <a:graphicData uri="http://schemas.openxmlformats.org/drawingml/2006/picture">
                <pic:pic>
                  <pic:nvPicPr>
                    <pic:cNvPr id="0" name="iter3_durability_scatter_asp_velocity.png"/>
                    <pic:cNvPicPr/>
                  </pic:nvPicPr>
                  <pic:blipFill>
                    <a:blip r:embed="rId21"/>
                    <a:stretch>
                      <a:fillRect/>
                    </a:stretch>
                  </pic:blipFill>
                  <pic:spPr>
                    <a:xfrm>
                      <a:off x="0" y="0"/>
                      <a:ext cx="5486400" cy="2455291"/>
                    </a:xfrm>
                    <a:prstGeom prst="rect"/>
                  </pic:spPr>
                </pic:pic>
              </a:graphicData>
            </a:graphic>
          </wp:inline>
        </w:drawing>
      </w:r>
    </w:p>
    <w:p>
      <w:r>
        <w:drawing>
          <wp:inline xmlns:a="http://schemas.openxmlformats.org/drawingml/2006/main" xmlns:pic="http://schemas.openxmlformats.org/drawingml/2006/picture">
            <wp:extent cx="5486400" cy="2329480"/>
            <wp:docPr id="14" name="Picture 14"/>
            <wp:cNvGraphicFramePr>
              <a:graphicFrameLocks noChangeAspect="1"/>
            </wp:cNvGraphicFramePr>
            <a:graphic>
              <a:graphicData uri="http://schemas.openxmlformats.org/drawingml/2006/picture">
                <pic:pic>
                  <pic:nvPicPr>
                    <pic:cNvPr id="0" name="iter3_revenue_by_durability_cohort.png"/>
                    <pic:cNvPicPr/>
                  </pic:nvPicPr>
                  <pic:blipFill>
                    <a:blip r:embed="rId22"/>
                    <a:stretch>
                      <a:fillRect/>
                    </a:stretch>
                  </pic:blipFill>
                  <pic:spPr>
                    <a:xfrm>
                      <a:off x="0" y="0"/>
                      <a:ext cx="5486400" cy="2329480"/>
                    </a:xfrm>
                    <a:prstGeom prst="rect"/>
                  </pic:spPr>
                </pic:pic>
              </a:graphicData>
            </a:graphic>
          </wp:inline>
        </w:drawing>
      </w:r>
    </w:p>
    <w:p>
      <w:pPr>
        <w:pStyle w:val="Heading3"/>
      </w:pPr>
      <w:r>
        <w:rPr>
          <w:rFonts w:ascii="Arial" w:hAnsi="Arial"/>
          <w:color w:val="26890D"/>
        </w:rPr>
        <w:t>3.4 ASP Tier Analysis: Entry-Tier New Entrant Deep Dive</w:t>
      </w:r>
    </w:p>
    <w:p>
      <w:r/>
      <w:r>
        <w:rPr>
          <w:b/>
        </w:rPr>
        <w:t>Basis of Preparation.</w:t>
      </w:r>
      <w:r>
        <w:t xml:space="preserve"> Models were segmented into four ASP tiers based on LTM23 average selling price: Entry (&lt;€48), Lower-Mid (€48–55), Upper-Mid (€55–65), and Premium (&gt;€65). For models without LTM23 sales, the FY2022 ASP was used. NE and Stable sub-segments within each tier were defined using the lifecycle classification from Section 3.1. Post-peak retention, channel mix, repeat client rate, and ordering frequency metrics were computed within each ASP × lifecycle cell. Cohort analysis for the Entry NE tier grouped models by the half-year in which they were first introduced (FY2022 H1: Jan–Jun 2022; FY2022 H2: Jul–Dec 2022; LTM23) and tracked monthly aggregate revenue from that cohort's launch date forward.</w:t>
      </w:r>
    </w:p>
    <w:p>
      <w:r>
        <w:t>The Entry-tier segment (&lt;€48 ASP) exhibits a structural anomaly: NE Entry models generate €8.84m in LTM23 versus only €4.90m for Stable Entry models — a 1.8× NE advantage that inverts completely in the Premium tier (Stable €3.2m vs NE €0.4m). This inversion is the clearest quantitative signal of the fashion-cycle dynamics operating most aggressively in the lower price segment.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ASP Tier</w:t>
            </w:r>
          </w:p>
        </w:tc>
        <w:tc>
          <w:tcPr>
            <w:tcW w:type="dxa" w:w="1872"/>
            <w:shd w:val="clear" w:color="auto" w:fill="046A38"/>
          </w:tcPr>
          <w:p>
            <w:r>
              <w:rPr>
                <w:b/>
                <w:color w:val="FFFFFF"/>
              </w:rPr>
            </w:r>
            <w:r>
              <w:rPr>
                <w:rFonts w:ascii="Arial" w:hAnsi="Arial"/>
                <w:b/>
                <w:color w:val="FFFFFF"/>
                <w:sz w:val="20"/>
              </w:rPr>
              <w:t>NE LTM23 Revenue</w:t>
            </w:r>
          </w:p>
        </w:tc>
        <w:tc>
          <w:tcPr>
            <w:tcW w:type="dxa" w:w="1872"/>
            <w:shd w:val="clear" w:color="auto" w:fill="046A38"/>
          </w:tcPr>
          <w:p>
            <w:r>
              <w:rPr>
                <w:b/>
                <w:color w:val="FFFFFF"/>
              </w:rPr>
            </w:r>
            <w:r>
              <w:rPr>
                <w:rFonts w:ascii="Arial" w:hAnsi="Arial"/>
                <w:b/>
                <w:color w:val="FFFFFF"/>
                <w:sz w:val="20"/>
              </w:rPr>
              <w:t>Stable LTM23 Revenue</w:t>
            </w:r>
          </w:p>
        </w:tc>
        <w:tc>
          <w:tcPr>
            <w:tcW w:type="dxa" w:w="1872"/>
            <w:shd w:val="clear" w:color="auto" w:fill="046A38"/>
          </w:tcPr>
          <w:p>
            <w:r>
              <w:rPr>
                <w:b/>
                <w:color w:val="FFFFFF"/>
              </w:rPr>
            </w:r>
            <w:r>
              <w:rPr>
                <w:rFonts w:ascii="Arial" w:hAnsi="Arial"/>
                <w:b/>
                <w:color w:val="FFFFFF"/>
                <w:sz w:val="20"/>
              </w:rPr>
              <w:t>NE/Stable Ratio</w:t>
            </w:r>
          </w:p>
        </w:tc>
        <w:tc>
          <w:tcPr>
            <w:tcW w:type="dxa" w:w="1872"/>
            <w:shd w:val="clear" w:color="auto" w:fill="046A38"/>
          </w:tcPr>
          <w:p>
            <w:r>
              <w:rPr>
                <w:b/>
                <w:color w:val="FFFFFF"/>
              </w:rPr>
            </w:r>
            <w:r>
              <w:rPr>
                <w:rFonts w:ascii="Arial" w:hAnsi="Arial"/>
                <w:b/>
                <w:color w:val="FFFFFF"/>
                <w:sz w:val="20"/>
              </w:rPr>
              <w:t>NE Durable Rate</w:t>
            </w:r>
          </w:p>
        </w:tc>
      </w:tr>
      <w:tr>
        <w:tc>
          <w:tcPr>
            <w:tcW w:type="dxa" w:w="1872"/>
          </w:tcPr>
          <w:p>
            <w:r/>
            <w:r>
              <w:rPr>
                <w:rFonts w:ascii="Arial" w:hAnsi="Arial"/>
                <w:sz w:val="20"/>
              </w:rPr>
              <w:t>Entry (&lt;€48)</w:t>
            </w:r>
          </w:p>
        </w:tc>
        <w:tc>
          <w:tcPr>
            <w:tcW w:type="dxa" w:w="1872"/>
          </w:tcPr>
          <w:p>
            <w:r/>
            <w:r>
              <w:rPr>
                <w:rFonts w:ascii="Arial" w:hAnsi="Arial"/>
                <w:sz w:val="20"/>
              </w:rPr>
              <w:t>€8.84m</w:t>
            </w:r>
          </w:p>
        </w:tc>
        <w:tc>
          <w:tcPr>
            <w:tcW w:type="dxa" w:w="1872"/>
          </w:tcPr>
          <w:p>
            <w:r/>
            <w:r>
              <w:rPr>
                <w:rFonts w:ascii="Arial" w:hAnsi="Arial"/>
                <w:sz w:val="20"/>
              </w:rPr>
              <w:t>€4.90m</w:t>
            </w:r>
          </w:p>
        </w:tc>
        <w:tc>
          <w:tcPr>
            <w:tcW w:type="dxa" w:w="1872"/>
          </w:tcPr>
          <w:p>
            <w:r/>
            <w:r>
              <w:rPr>
                <w:rFonts w:ascii="Arial" w:hAnsi="Arial"/>
                <w:sz w:val="20"/>
              </w:rPr>
              <w:t>1.80×</w:t>
            </w:r>
          </w:p>
        </w:tc>
        <w:tc>
          <w:tcPr>
            <w:tcW w:type="dxa" w:w="1872"/>
          </w:tcPr>
          <w:p>
            <w:r/>
            <w:r>
              <w:rPr>
                <w:rFonts w:ascii="Arial" w:hAnsi="Arial"/>
                <w:sz w:val="20"/>
              </w:rPr>
              <w:t>15.8%</w:t>
            </w:r>
          </w:p>
        </w:tc>
      </w:tr>
      <w:tr>
        <w:tc>
          <w:tcPr>
            <w:tcW w:type="dxa" w:w="1872"/>
          </w:tcPr>
          <w:p>
            <w:r/>
            <w:r>
              <w:rPr>
                <w:rFonts w:ascii="Arial" w:hAnsi="Arial"/>
                <w:sz w:val="20"/>
              </w:rPr>
              <w:t>Lower-Mid (€48–55)</w:t>
            </w:r>
          </w:p>
        </w:tc>
        <w:tc>
          <w:tcPr>
            <w:tcW w:type="dxa" w:w="1872"/>
          </w:tcPr>
          <w:p>
            <w:r/>
            <w:r>
              <w:rPr>
                <w:rFonts w:ascii="Arial" w:hAnsi="Arial"/>
                <w:sz w:val="20"/>
              </w:rPr>
              <w:t>~€3.5m</w:t>
            </w:r>
          </w:p>
        </w:tc>
        <w:tc>
          <w:tcPr>
            <w:tcW w:type="dxa" w:w="1872"/>
          </w:tcPr>
          <w:p>
            <w:r/>
            <w:r>
              <w:rPr>
                <w:rFonts w:ascii="Arial" w:hAnsi="Arial"/>
                <w:sz w:val="20"/>
              </w:rPr>
              <w:t>~€2.5m</w:t>
            </w:r>
          </w:p>
        </w:tc>
        <w:tc>
          <w:tcPr>
            <w:tcW w:type="dxa" w:w="1872"/>
          </w:tcPr>
          <w:p>
            <w:r/>
            <w:r>
              <w:rPr>
                <w:rFonts w:ascii="Arial" w:hAnsi="Arial"/>
                <w:sz w:val="20"/>
              </w:rPr>
              <w:t>~1.4×</w:t>
            </w:r>
          </w:p>
        </w:tc>
        <w:tc>
          <w:tcPr>
            <w:tcW w:type="dxa" w:w="1872"/>
          </w:tcPr>
          <w:p>
            <w:r/>
            <w:r>
              <w:rPr>
                <w:rFonts w:ascii="Arial" w:hAnsi="Arial"/>
                <w:sz w:val="20"/>
              </w:rPr>
              <w:t>~15%</w:t>
            </w:r>
          </w:p>
        </w:tc>
      </w:tr>
      <w:tr>
        <w:tc>
          <w:tcPr>
            <w:tcW w:type="dxa" w:w="1872"/>
          </w:tcPr>
          <w:p>
            <w:r/>
            <w:r>
              <w:rPr>
                <w:rFonts w:ascii="Arial" w:hAnsi="Arial"/>
                <w:sz w:val="20"/>
              </w:rPr>
              <w:t>Upper-Mid (€55–65)</w:t>
            </w:r>
          </w:p>
        </w:tc>
        <w:tc>
          <w:tcPr>
            <w:tcW w:type="dxa" w:w="1872"/>
          </w:tcPr>
          <w:p>
            <w:r/>
            <w:r>
              <w:rPr>
                <w:rFonts w:ascii="Arial" w:hAnsi="Arial"/>
                <w:sz w:val="20"/>
              </w:rPr>
              <w:t>~€3.5m</w:t>
            </w:r>
          </w:p>
        </w:tc>
        <w:tc>
          <w:tcPr>
            <w:tcW w:type="dxa" w:w="1872"/>
          </w:tcPr>
          <w:p>
            <w:r/>
            <w:r>
              <w:rPr>
                <w:rFonts w:ascii="Arial" w:hAnsi="Arial"/>
                <w:sz w:val="20"/>
              </w:rPr>
              <w:t>~€1.5m</w:t>
            </w:r>
          </w:p>
        </w:tc>
        <w:tc>
          <w:tcPr>
            <w:tcW w:type="dxa" w:w="1872"/>
          </w:tcPr>
          <w:p>
            <w:r/>
            <w:r>
              <w:rPr>
                <w:rFonts w:ascii="Arial" w:hAnsi="Arial"/>
                <w:sz w:val="20"/>
              </w:rPr>
              <w:t>~2.3×</w:t>
            </w:r>
          </w:p>
        </w:tc>
        <w:tc>
          <w:tcPr>
            <w:tcW w:type="dxa" w:w="1872"/>
          </w:tcPr>
          <w:p>
            <w:r/>
            <w:r>
              <w:rPr>
                <w:rFonts w:ascii="Arial" w:hAnsi="Arial"/>
                <w:sz w:val="20"/>
              </w:rPr>
              <w:t>~12%</w:t>
            </w:r>
          </w:p>
        </w:tc>
      </w:tr>
      <w:tr>
        <w:tc>
          <w:tcPr>
            <w:tcW w:type="dxa" w:w="1872"/>
          </w:tcPr>
          <w:p>
            <w:r/>
            <w:r>
              <w:rPr>
                <w:rFonts w:ascii="Arial" w:hAnsi="Arial"/>
                <w:sz w:val="20"/>
              </w:rPr>
              <w:t>Premium (&gt;€65)</w:t>
            </w:r>
          </w:p>
        </w:tc>
        <w:tc>
          <w:tcPr>
            <w:tcW w:type="dxa" w:w="1872"/>
          </w:tcPr>
          <w:p>
            <w:r/>
            <w:r>
              <w:rPr>
                <w:rFonts w:ascii="Arial" w:hAnsi="Arial"/>
                <w:sz w:val="20"/>
              </w:rPr>
              <w:t>€0.38m</w:t>
            </w:r>
          </w:p>
        </w:tc>
        <w:tc>
          <w:tcPr>
            <w:tcW w:type="dxa" w:w="1872"/>
          </w:tcPr>
          <w:p>
            <w:r/>
            <w:r>
              <w:rPr>
                <w:rFonts w:ascii="Arial" w:hAnsi="Arial"/>
                <w:sz w:val="20"/>
              </w:rPr>
              <w:t>€3.20m</w:t>
            </w:r>
          </w:p>
        </w:tc>
        <w:tc>
          <w:tcPr>
            <w:tcW w:type="dxa" w:w="1872"/>
          </w:tcPr>
          <w:p>
            <w:r/>
            <w:r>
              <w:rPr>
                <w:rFonts w:ascii="Arial" w:hAnsi="Arial"/>
                <w:sz w:val="20"/>
              </w:rPr>
              <w:t>0.12×</w:t>
            </w:r>
          </w:p>
        </w:tc>
        <w:tc>
          <w:tcPr>
            <w:tcW w:type="dxa" w:w="1872"/>
          </w:tcPr>
          <w:p>
            <w:r/>
            <w:r>
              <w:rPr>
                <w:rFonts w:ascii="Arial" w:hAnsi="Arial"/>
                <w:sz w:val="20"/>
              </w:rPr>
              <w:t>16.7%</w:t>
            </w:r>
          </w:p>
        </w:tc>
      </w:tr>
    </w:tbl>
    <w:p/>
    <w:p>
      <w:r>
        <w:t>Entry NE models are also the most wholesale-dependent segment of the portfolio, with 73.4% of their LTM23 revenue flowing through the wholesale channel (down from 80.8% in FY2022), compared to 66.7% for Stable Entry models. This confirms a sell-in dominated launch dynamic: wholesale distributors are buying into new Entry models at launch, creating the revenue spike, but consumer sell-through and repeat orders are insufficient to sustain demand. The cohort-level evidence is stark: the FY2022 H1 Entry NE cohort peaked at €2.1m in Q3 2022 and had decayed to €188k by Q2 2023, a collapse of –91%. The FY2022 H2 cohort replicated this spike-and-decay pattern identically, confirming the mechanism is systematic rather than episodic.</w:t>
      </w:r>
    </w:p>
    <w:p>
      <w:r>
        <w:t>The client behaviour within Entry NE also lags Stable Entry performance: repeat client rate for NE Entry models is 26.2% versus 36.9% for Stable Entry, and ordering frequency is 1.45 orders per month per model versus 1.95 for Stable — further evidence that wholesale accounts are buying as a one-time assortment decision rather than a sustained replenishment relationship.</w:t>
      </w:r>
    </w:p>
    <w:p>
      <w:r>
        <w:t>The pipeline deceleration compounds this concern significantly: only 3 new Entry-tier NE models were introduced in LTM23, compared to 32 in FY2022. If the 2023 launch cadence does not recover, the aggregate NE Entry revenue base — currently sustained by the still-active tail of the FY2022 cohorts — will face an accelerating headwind as those models continue their decay trajectories without replacement cohorts of sufficient size.</w:t>
      </w:r>
    </w:p>
    <w:p>
      <w:r>
        <w:drawing>
          <wp:inline xmlns:a="http://schemas.openxmlformats.org/drawingml/2006/main" xmlns:pic="http://schemas.openxmlformats.org/drawingml/2006/picture">
            <wp:extent cx="5486400" cy="2469384"/>
            <wp:docPr id="15" name="Picture 15"/>
            <wp:cNvGraphicFramePr>
              <a:graphicFrameLocks noChangeAspect="1"/>
            </wp:cNvGraphicFramePr>
            <a:graphic>
              <a:graphicData uri="http://schemas.openxmlformats.org/drawingml/2006/picture">
                <pic:pic>
                  <pic:nvPicPr>
                    <pic:cNvPr id="0" name="iter6_ne_entry_quarterly_cohort_revenue.png"/>
                    <pic:cNvPicPr/>
                  </pic:nvPicPr>
                  <pic:blipFill>
                    <a:blip r:embed="rId23"/>
                    <a:stretch>
                      <a:fillRect/>
                    </a:stretch>
                  </pic:blipFill>
                  <pic:spPr>
                    <a:xfrm>
                      <a:off x="0" y="0"/>
                      <a:ext cx="5486400" cy="2469384"/>
                    </a:xfrm>
                    <a:prstGeom prst="rect"/>
                  </pic:spPr>
                </pic:pic>
              </a:graphicData>
            </a:graphic>
          </wp:inline>
        </w:drawing>
      </w:r>
    </w:p>
    <w:p>
      <w:r>
        <w:drawing>
          <wp:inline xmlns:a="http://schemas.openxmlformats.org/drawingml/2006/main" xmlns:pic="http://schemas.openxmlformats.org/drawingml/2006/picture">
            <wp:extent cx="5486400" cy="3025134"/>
            <wp:docPr id="16" name="Picture 16"/>
            <wp:cNvGraphicFramePr>
              <a:graphicFrameLocks noChangeAspect="1"/>
            </wp:cNvGraphicFramePr>
            <a:graphic>
              <a:graphicData uri="http://schemas.openxmlformats.org/drawingml/2006/picture">
                <pic:pic>
                  <pic:nvPicPr>
                    <pic:cNvPr id="0" name="iter6_post_peak_retention_ne_entry_vs_all.png"/>
                    <pic:cNvPicPr/>
                  </pic:nvPicPr>
                  <pic:blipFill>
                    <a:blip r:embed="rId24"/>
                    <a:stretch>
                      <a:fillRect/>
                    </a:stretch>
                  </pic:blipFill>
                  <pic:spPr>
                    <a:xfrm>
                      <a:off x="0" y="0"/>
                      <a:ext cx="5486400" cy="3025134"/>
                    </a:xfrm>
                    <a:prstGeom prst="rect"/>
                  </pic:spPr>
                </pic:pic>
              </a:graphicData>
            </a:graphic>
          </wp:inline>
        </w:drawing>
      </w:r>
    </w:p>
    <w:p>
      <w:r>
        <w:drawing>
          <wp:inline xmlns:a="http://schemas.openxmlformats.org/drawingml/2006/main" xmlns:pic="http://schemas.openxmlformats.org/drawingml/2006/picture">
            <wp:extent cx="5486400" cy="2280102"/>
            <wp:docPr id="17" name="Picture 17"/>
            <wp:cNvGraphicFramePr>
              <a:graphicFrameLocks noChangeAspect="1"/>
            </wp:cNvGraphicFramePr>
            <a:graphic>
              <a:graphicData uri="http://schemas.openxmlformats.org/drawingml/2006/picture">
                <pic:pic>
                  <pic:nvPicPr>
                    <pic:cNvPr id="0" name="iter6_channel_mix_ne_entry_vs_stable.png"/>
                    <pic:cNvPicPr/>
                  </pic:nvPicPr>
                  <pic:blipFill>
                    <a:blip r:embed="rId25"/>
                    <a:stretch>
                      <a:fillRect/>
                    </a:stretch>
                  </pic:blipFill>
                  <pic:spPr>
                    <a:xfrm>
                      <a:off x="0" y="0"/>
                      <a:ext cx="5486400" cy="2280102"/>
                    </a:xfrm>
                    <a:prstGeom prst="rect"/>
                  </pic:spPr>
                </pic:pic>
              </a:graphicData>
            </a:graphic>
          </wp:inline>
        </w:drawing>
      </w:r>
    </w:p>
    <w:p>
      <w:r>
        <w:drawing>
          <wp:inline xmlns:a="http://schemas.openxmlformats.org/drawingml/2006/main" xmlns:pic="http://schemas.openxmlformats.org/drawingml/2006/picture">
            <wp:extent cx="5486400" cy="2038398"/>
            <wp:docPr id="18" name="Picture 18"/>
            <wp:cNvGraphicFramePr>
              <a:graphicFrameLocks noChangeAspect="1"/>
            </wp:cNvGraphicFramePr>
            <a:graphic>
              <a:graphicData uri="http://schemas.openxmlformats.org/drawingml/2006/picture">
                <pic:pic>
                  <pic:nvPicPr>
                    <pic:cNvPr id="0" name="iter5_asp_tier_revenue_lifecycle.png"/>
                    <pic:cNvPicPr/>
                  </pic:nvPicPr>
                  <pic:blipFill>
                    <a:blip r:embed="rId26"/>
                    <a:stretch>
                      <a:fillRect/>
                    </a:stretch>
                  </pic:blipFill>
                  <pic:spPr>
                    <a:xfrm>
                      <a:off x="0" y="0"/>
                      <a:ext cx="5486400" cy="2038398"/>
                    </a:xfrm>
                    <a:prstGeom prst="rect"/>
                  </pic:spPr>
                </pic:pic>
              </a:graphicData>
            </a:graphic>
          </wp:inline>
        </w:drawing>
      </w:r>
    </w:p>
    <w:p/>
    <w:p>
      <w:pPr>
        <w:pStyle w:val="Heading2"/>
      </w:pPr>
      <w:r>
        <w:rPr>
          <w:rFonts w:ascii="Arial" w:hAnsi="Arial"/>
          <w:color w:val="26890D"/>
        </w:rPr>
        <w:t>Section 4: Wholesale Channel Dynamics and Client Cohort Quality</w:t>
      </w:r>
    </w:p>
    <w:p>
      <w:pPr>
        <w:pStyle w:val="Heading3"/>
      </w:pPr>
      <w:r>
        <w:rPr>
          <w:rFonts w:ascii="Arial" w:hAnsi="Arial"/>
          <w:color w:val="26890D"/>
        </w:rPr>
        <w:t>4.1 Wholesale Growth Quality: Organic vs. Acquisition-Driven</w:t>
      </w:r>
    </w:p>
    <w:p>
      <w:r/>
      <w:r>
        <w:rPr>
          <w:b/>
        </w:rPr>
        <w:t>Basis of Preparation.</w:t>
      </w:r>
      <w:r>
        <w:t xml:space="preserve"> Wholesale channel clients were classified as "Returning" or "New" for each transition period. A client was classified as Returning in LTM23 if it had any positive revenue in PLTM22 (May 2021–April 2022); all other LTM23 wholesale clients were classified as New. The same logic was applied for the FY2021→FY2022 transition. Revenue attributed to each cohort was then summed. Like-for-like (LfL) growth was computed as the YoY revenue change for the Returning cohort only. The YoY growth contribution of new client acquisition was computed as new client revenue in the current period expressed as a percentage of the prior period's total wholesale revenue.</w:t>
      </w:r>
    </w:p>
    <w:p>
      <w:r>
        <w:t>The wholesale channel's growth quality has deteriorated materially between the two observable periods. In FY2021→FY2022, the wholesale expansion of +84.6% (+€9.22m) was led by returning clients, who grew +62.1% organically — a high-quality, relationship-driven expansion. Lost-client churn during this period was only €0.64m, confirming minimal attrition. By LTM23, the picture has reversed: headline wholesale growth of +54.4% masks a returning-client LfL of –1.6% (€19.74m → €19.42m in the returning-client base). Every incremental euro of reported LTM23 wholesale growth is attributable to the addition of 525 net new clients, who contributed €4.69m (33.8 percentage points of the headline growth rate).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Metric</w:t>
            </w:r>
          </w:p>
        </w:tc>
        <w:tc>
          <w:tcPr>
            <w:tcW w:type="dxa" w:w="3120"/>
            <w:shd w:val="clear" w:color="auto" w:fill="046A38"/>
          </w:tcPr>
          <w:p>
            <w:r>
              <w:rPr>
                <w:b/>
                <w:color w:val="FFFFFF"/>
              </w:rPr>
            </w:r>
            <w:r>
              <w:rPr>
                <w:rFonts w:ascii="Arial" w:hAnsi="Arial"/>
                <w:b/>
                <w:color w:val="FFFFFF"/>
                <w:sz w:val="20"/>
              </w:rPr>
              <w:t>FY2021→FY2022</w:t>
            </w:r>
          </w:p>
        </w:tc>
        <w:tc>
          <w:tcPr>
            <w:tcW w:type="dxa" w:w="3120"/>
            <w:shd w:val="clear" w:color="auto" w:fill="046A38"/>
          </w:tcPr>
          <w:p>
            <w:r>
              <w:rPr>
                <w:b/>
                <w:color w:val="FFFFFF"/>
              </w:rPr>
            </w:r>
            <w:r>
              <w:rPr>
                <w:rFonts w:ascii="Arial" w:hAnsi="Arial"/>
                <w:b/>
                <w:color w:val="FFFFFF"/>
                <w:sz w:val="20"/>
              </w:rPr>
              <w:t>PLTM22→LTM23</w:t>
            </w:r>
          </w:p>
        </w:tc>
      </w:tr>
      <w:tr>
        <w:tc>
          <w:tcPr>
            <w:tcW w:type="dxa" w:w="3120"/>
          </w:tcPr>
          <w:p>
            <w:r/>
            <w:r>
              <w:rPr>
                <w:rFonts w:ascii="Arial" w:hAnsi="Arial"/>
                <w:sz w:val="20"/>
              </w:rPr>
              <w:t>Total WS revenue growth</w:t>
            </w:r>
          </w:p>
        </w:tc>
        <w:tc>
          <w:tcPr>
            <w:tcW w:type="dxa" w:w="3120"/>
          </w:tcPr>
          <w:p>
            <w:r/>
            <w:r>
              <w:rPr>
                <w:rFonts w:ascii="Arial" w:hAnsi="Arial"/>
                <w:sz w:val="20"/>
              </w:rPr>
              <w:t>+€9.22m (+84.6%)</w:t>
            </w:r>
          </w:p>
        </w:tc>
        <w:tc>
          <w:tcPr>
            <w:tcW w:type="dxa" w:w="3120"/>
          </w:tcPr>
          <w:p>
            <w:r/>
            <w:r>
              <w:rPr>
                <w:rFonts w:ascii="Arial" w:hAnsi="Arial"/>
                <w:sz w:val="20"/>
              </w:rPr>
              <w:t>+€7.55m (+54.4%)</w:t>
            </w:r>
          </w:p>
        </w:tc>
      </w:tr>
      <w:tr>
        <w:tc>
          <w:tcPr>
            <w:tcW w:type="dxa" w:w="3120"/>
          </w:tcPr>
          <w:p>
            <w:r/>
            <w:r>
              <w:rPr>
                <w:rFonts w:ascii="Arial" w:hAnsi="Arial"/>
                <w:sz w:val="20"/>
              </w:rPr>
              <w:t>Returning client LfL growth</w:t>
            </w:r>
          </w:p>
        </w:tc>
        <w:tc>
          <w:tcPr>
            <w:tcW w:type="dxa" w:w="3120"/>
          </w:tcPr>
          <w:p>
            <w:r/>
            <w:r>
              <w:rPr>
                <w:rFonts w:ascii="Arial" w:hAnsi="Arial"/>
                <w:sz w:val="20"/>
              </w:rPr>
              <w:t>+62.1%</w:t>
            </w:r>
          </w:p>
        </w:tc>
        <w:tc>
          <w:tcPr>
            <w:tcW w:type="dxa" w:w="3120"/>
          </w:tcPr>
          <w:p>
            <w:r/>
            <w:r>
              <w:rPr>
                <w:rFonts w:ascii="Arial" w:hAnsi="Arial"/>
                <w:sz w:val="20"/>
              </w:rPr>
              <w:t>–1.6%</w:t>
            </w:r>
          </w:p>
        </w:tc>
      </w:tr>
      <w:tr>
        <w:tc>
          <w:tcPr>
            <w:tcW w:type="dxa" w:w="3120"/>
          </w:tcPr>
          <w:p>
            <w:r/>
            <w:r>
              <w:rPr>
                <w:rFonts w:ascii="Arial" w:hAnsi="Arial"/>
                <w:sz w:val="20"/>
              </w:rPr>
              <w:t>New client revenue contribution</w:t>
            </w:r>
          </w:p>
        </w:tc>
        <w:tc>
          <w:tcPr>
            <w:tcW w:type="dxa" w:w="3120"/>
          </w:tcPr>
          <w:p>
            <w:r/>
            <w:r>
              <w:rPr>
                <w:rFonts w:ascii="Arial" w:hAnsi="Arial"/>
                <w:sz w:val="20"/>
              </w:rPr>
              <w:t>~€3.1m</w:t>
            </w:r>
          </w:p>
        </w:tc>
        <w:tc>
          <w:tcPr>
            <w:tcW w:type="dxa" w:w="3120"/>
          </w:tcPr>
          <w:p>
            <w:r/>
            <w:r>
              <w:rPr>
                <w:rFonts w:ascii="Arial" w:hAnsi="Arial"/>
                <w:sz w:val="20"/>
              </w:rPr>
              <w:t>€4.69m (33.8pp)</w:t>
            </w:r>
          </w:p>
        </w:tc>
      </w:tr>
      <w:tr>
        <w:tc>
          <w:tcPr>
            <w:tcW w:type="dxa" w:w="3120"/>
          </w:tcPr>
          <w:p>
            <w:r/>
            <w:r>
              <w:rPr>
                <w:rFonts w:ascii="Arial" w:hAnsi="Arial"/>
                <w:sz w:val="20"/>
              </w:rPr>
              <w:t>Lost client churn</w:t>
            </w:r>
          </w:p>
        </w:tc>
        <w:tc>
          <w:tcPr>
            <w:tcW w:type="dxa" w:w="3120"/>
          </w:tcPr>
          <w:p>
            <w:r/>
            <w:r>
              <w:rPr>
                <w:rFonts w:ascii="Arial" w:hAnsi="Arial"/>
                <w:sz w:val="20"/>
              </w:rPr>
              <w:t>€0.64m</w:t>
            </w:r>
          </w:p>
        </w:tc>
        <w:tc>
          <w:tcPr>
            <w:tcW w:type="dxa" w:w="3120"/>
          </w:tcPr>
          <w:p>
            <w:r/>
            <w:r>
              <w:rPr>
                <w:rFonts w:ascii="Arial" w:hAnsi="Arial"/>
                <w:sz w:val="20"/>
              </w:rPr>
              <w:t>€0.38m</w:t>
            </w:r>
          </w:p>
        </w:tc>
      </w:tr>
      <w:tr>
        <w:tc>
          <w:tcPr>
            <w:tcW w:type="dxa" w:w="3120"/>
          </w:tcPr>
          <w:p>
            <w:r/>
            <w:r>
              <w:rPr>
                <w:rFonts w:ascii="Arial" w:hAnsi="Arial"/>
                <w:sz w:val="20"/>
              </w:rPr>
              <w:t>New clients added</w:t>
            </w:r>
          </w:p>
        </w:tc>
        <w:tc>
          <w:tcPr>
            <w:tcW w:type="dxa" w:w="3120"/>
          </w:tcPr>
          <w:p>
            <w:r/>
            <w:r>
              <w:rPr>
                <w:rFonts w:ascii="Arial" w:hAnsi="Arial"/>
                <w:sz w:val="20"/>
              </w:rPr>
              <w:t>507</w:t>
            </w:r>
          </w:p>
        </w:tc>
        <w:tc>
          <w:tcPr>
            <w:tcW w:type="dxa" w:w="3120"/>
          </w:tcPr>
          <w:p>
            <w:r/>
            <w:r>
              <w:rPr>
                <w:rFonts w:ascii="Arial" w:hAnsi="Arial"/>
                <w:sz w:val="20"/>
              </w:rPr>
              <w:t>525</w:t>
            </w:r>
          </w:p>
        </w:tc>
      </w:tr>
      <w:tr>
        <w:tc>
          <w:tcPr>
            <w:tcW w:type="dxa" w:w="3120"/>
          </w:tcPr>
          <w:p>
            <w:r/>
            <w:r>
              <w:rPr>
                <w:rFonts w:ascii="Arial" w:hAnsi="Arial"/>
                <w:sz w:val="20"/>
              </w:rPr>
              <w:t>Avg revenue per new client</w:t>
            </w:r>
          </w:p>
        </w:tc>
        <w:tc>
          <w:tcPr>
            <w:tcW w:type="dxa" w:w="3120"/>
          </w:tcPr>
          <w:p>
            <w:r/>
            <w:r>
              <w:rPr>
                <w:rFonts w:ascii="Arial" w:hAnsi="Arial"/>
                <w:sz w:val="20"/>
              </w:rPr>
              <w:t>€6.9k</w:t>
            </w:r>
          </w:p>
        </w:tc>
        <w:tc>
          <w:tcPr>
            <w:tcW w:type="dxa" w:w="3120"/>
          </w:tcPr>
          <w:p>
            <w:r/>
            <w:r>
              <w:rPr>
                <w:rFonts w:ascii="Arial" w:hAnsi="Arial"/>
                <w:sz w:val="20"/>
              </w:rPr>
              <w:t>€5.2k</w:t>
            </w:r>
          </w:p>
        </w:tc>
      </w:tr>
    </w:tbl>
    <w:p/>
    <w:p>
      <w:r>
        <w:t>The deterioration in returning-client LfL from +62.1% to –1.6% represents the sharpest inflection point in the wholesale dataset, and its root cause — the near-complete rotation of the portfolio's lifecycle mix — is analysed in detail in Section 5. The concurrent decline in average revenue per new client from €6.9k (FY2022 cohort) to €5.2k (LTM23 cohort), a compression of 24%, further suggests that the marginal wholesale account being onboarded is of diminishing commercial quality: smaller, less established distributors with narrower assortments. This pattern is consistent with the brand having progressively exhausted the tier-1 and tier-2 wholesale accounts that were most available and most commercially attractive at the outset of its growth phase.</w:t>
      </w:r>
    </w:p>
    <w:p>
      <w:r>
        <w:drawing>
          <wp:inline xmlns:a="http://schemas.openxmlformats.org/drawingml/2006/main" xmlns:pic="http://schemas.openxmlformats.org/drawingml/2006/picture">
            <wp:extent cx="5486400" cy="2331720"/>
            <wp:docPr id="19" name="Picture 19"/>
            <wp:cNvGraphicFramePr>
              <a:graphicFrameLocks noChangeAspect="1"/>
            </wp:cNvGraphicFramePr>
            <a:graphic>
              <a:graphicData uri="http://schemas.openxmlformats.org/drawingml/2006/picture">
                <pic:pic>
                  <pic:nvPicPr>
                    <pic:cNvPr id="0" name="iter1_new_vs_returning_ws_revenue.png"/>
                    <pic:cNvPicPr/>
                  </pic:nvPicPr>
                  <pic:blipFill>
                    <a:blip r:embed="rId27"/>
                    <a:stretch>
                      <a:fillRect/>
                    </a:stretch>
                  </pic:blipFill>
                  <pic:spPr>
                    <a:xfrm>
                      <a:off x="0" y="0"/>
                      <a:ext cx="5486400" cy="2331720"/>
                    </a:xfrm>
                    <a:prstGeom prst="rect"/>
                  </pic:spPr>
                </pic:pic>
              </a:graphicData>
            </a:graphic>
          </wp:inline>
        </w:drawing>
      </w:r>
    </w:p>
    <w:p>
      <w:r>
        <w:drawing>
          <wp:inline xmlns:a="http://schemas.openxmlformats.org/drawingml/2006/main" xmlns:pic="http://schemas.openxmlformats.org/drawingml/2006/picture">
            <wp:extent cx="5486400" cy="2342656"/>
            <wp:docPr id="20" name="Picture 20"/>
            <wp:cNvGraphicFramePr>
              <a:graphicFrameLocks noChangeAspect="1"/>
            </wp:cNvGraphicFramePr>
            <a:graphic>
              <a:graphicData uri="http://schemas.openxmlformats.org/drawingml/2006/picture">
                <pic:pic>
                  <pic:nvPicPr>
                    <pic:cNvPr id="0" name="iter7_ws_client_new_vs_returning.png"/>
                    <pic:cNvPicPr/>
                  </pic:nvPicPr>
                  <pic:blipFill>
                    <a:blip r:embed="rId28"/>
                    <a:stretch>
                      <a:fillRect/>
                    </a:stretch>
                  </pic:blipFill>
                  <pic:spPr>
                    <a:xfrm>
                      <a:off x="0" y="0"/>
                      <a:ext cx="5486400" cy="2342656"/>
                    </a:xfrm>
                    <a:prstGeom prst="rect"/>
                  </pic:spPr>
                </pic:pic>
              </a:graphicData>
            </a:graphic>
          </wp:inline>
        </w:drawing>
      </w:r>
    </w:p>
    <w:p>
      <w:pPr>
        <w:pStyle w:val="Heading3"/>
      </w:pPr>
      <w:r>
        <w:rPr>
          <w:rFonts w:ascii="Arial" w:hAnsi="Arial"/>
          <w:color w:val="26890D"/>
        </w:rPr>
        <w:t>4.2 Wholesale Client Base Expansion and Concentration Risk</w:t>
      </w:r>
    </w:p>
    <w:p>
      <w:r/>
      <w:r>
        <w:rPr>
          <w:b/>
        </w:rPr>
        <w:t>Basis of Preparation.</w:t>
      </w:r>
      <w:r>
        <w:t xml:space="preserve"> The Herfindahl-Hirschman Index (HHI) was computed for each period as the sum of squared revenue share fractions across all wholesale clients, where each client's share is their revenue as a proportion of total wholesale revenue in that period. The HHI ranges from 0 (perfectly equal distribution) to 1 (monopoly). Top-N concentration analysis was constructed by ranking all wholesale clients by LTM23 revenue and computing cumulative revenue share at each decile. Client retention cohorts were defined by first appearance year, and the retention rate for each cohort was measured as the proportion of clients still purchasing in subsequent periods.</w:t>
      </w:r>
    </w:p>
    <w:p>
      <w:r>
        <w:t>The wholesale client base has expanded from 996 accounts (FY2021) to 1,690 accounts (LTM23), a CAGR of +26.5% in client count. HHI has declined from 0.0140 to 0.0106, confirming that the base is becoming more distributed and no single-client catastrophic dependency has emerged. No individual account exceeds 3.8% of total company revenue.</w:t>
      </w:r>
    </w:p>
    <w:p>
      <w:r>
        <w:t>However, the distribution remains highly skewed. The top decile of wholesale clients — 169 accounts — generates 69% of LTM23 wholesale revenue (€14.78m), while the bottom half of the client base contributes negligibly. The top 50 clients account for approximately 50% of wholesale revenue, while the top 20 account for ~39%.</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Client Tier</w:t>
            </w:r>
          </w:p>
        </w:tc>
        <w:tc>
          <w:tcPr>
            <w:tcW w:type="dxa" w:w="2340"/>
            <w:shd w:val="clear" w:color="auto" w:fill="046A38"/>
          </w:tcPr>
          <w:p>
            <w:r>
              <w:rPr>
                <w:b/>
                <w:color w:val="FFFFFF"/>
              </w:rPr>
            </w:r>
            <w:r>
              <w:rPr>
                <w:rFonts w:ascii="Arial" w:hAnsi="Arial"/>
                <w:b/>
                <w:color w:val="FFFFFF"/>
                <w:sz w:val="20"/>
              </w:rPr>
              <w:t>FY2021 Revenue Share</w:t>
            </w:r>
          </w:p>
        </w:tc>
        <w:tc>
          <w:tcPr>
            <w:tcW w:type="dxa" w:w="2340"/>
            <w:shd w:val="clear" w:color="auto" w:fill="046A38"/>
          </w:tcPr>
          <w:p>
            <w:r>
              <w:rPr>
                <w:b/>
                <w:color w:val="FFFFFF"/>
              </w:rPr>
            </w:r>
            <w:r>
              <w:rPr>
                <w:rFonts w:ascii="Arial" w:hAnsi="Arial"/>
                <w:b/>
                <w:color w:val="FFFFFF"/>
                <w:sz w:val="20"/>
              </w:rPr>
              <w:t>LTM23 Revenue Share</w:t>
            </w:r>
          </w:p>
        </w:tc>
        <w:tc>
          <w:tcPr>
            <w:tcW w:type="dxa" w:w="2340"/>
            <w:shd w:val="clear" w:color="auto" w:fill="046A38"/>
          </w:tcPr>
          <w:p>
            <w:r>
              <w:rPr>
                <w:b/>
                <w:color w:val="FFFFFF"/>
              </w:rPr>
            </w:r>
            <w:r>
              <w:rPr>
                <w:rFonts w:ascii="Arial" w:hAnsi="Arial"/>
                <w:b/>
                <w:color w:val="FFFFFF"/>
                <w:sz w:val="20"/>
              </w:rPr>
              <w:t>LTM23 Absolute</w:t>
            </w:r>
          </w:p>
        </w:tc>
      </w:tr>
      <w:tr>
        <w:tc>
          <w:tcPr>
            <w:tcW w:type="dxa" w:w="2340"/>
          </w:tcPr>
          <w:p>
            <w:r/>
            <w:r>
              <w:rPr>
                <w:rFonts w:ascii="Arial" w:hAnsi="Arial"/>
                <w:sz w:val="20"/>
              </w:rPr>
              <w:t>Top 1 client</w:t>
            </w:r>
          </w:p>
        </w:tc>
        <w:tc>
          <w:tcPr>
            <w:tcW w:type="dxa" w:w="2340"/>
          </w:tcPr>
          <w:p>
            <w:r/>
            <w:r>
              <w:rPr>
                <w:rFonts w:ascii="Arial" w:hAnsi="Arial"/>
                <w:sz w:val="20"/>
              </w:rPr>
              <w:t>7.4%</w:t>
            </w:r>
          </w:p>
        </w:tc>
        <w:tc>
          <w:tcPr>
            <w:tcW w:type="dxa" w:w="2340"/>
          </w:tcPr>
          <w:p>
            <w:r/>
            <w:r>
              <w:rPr>
                <w:rFonts w:ascii="Arial" w:hAnsi="Arial"/>
                <w:sz w:val="20"/>
              </w:rPr>
              <w:t>~4.1%</w:t>
            </w:r>
          </w:p>
        </w:tc>
        <w:tc>
          <w:tcPr>
            <w:tcW w:type="dxa" w:w="2340"/>
          </w:tcPr>
          <w:p>
            <w:r/>
            <w:r>
              <w:rPr>
                <w:rFonts w:ascii="Arial" w:hAnsi="Arial"/>
                <w:sz w:val="20"/>
              </w:rPr>
              <w:t>~€0.88m</w:t>
            </w:r>
          </w:p>
        </w:tc>
      </w:tr>
      <w:tr>
        <w:tc>
          <w:tcPr>
            <w:tcW w:type="dxa" w:w="2340"/>
          </w:tcPr>
          <w:p>
            <w:r/>
            <w:r>
              <w:rPr>
                <w:rFonts w:ascii="Arial" w:hAnsi="Arial"/>
                <w:sz w:val="20"/>
              </w:rPr>
              <w:t>Top 5 clients</w:t>
            </w:r>
          </w:p>
        </w:tc>
        <w:tc>
          <w:tcPr>
            <w:tcW w:type="dxa" w:w="2340"/>
          </w:tcPr>
          <w:p>
            <w:r/>
            <w:r>
              <w:rPr>
                <w:rFonts w:ascii="Arial" w:hAnsi="Arial"/>
                <w:sz w:val="20"/>
              </w:rPr>
              <w:t>21.4%</w:t>
            </w:r>
          </w:p>
        </w:tc>
        <w:tc>
          <w:tcPr>
            <w:tcW w:type="dxa" w:w="2340"/>
          </w:tcPr>
          <w:p>
            <w:r/>
            <w:r>
              <w:rPr>
                <w:rFonts w:ascii="Arial" w:hAnsi="Arial"/>
                <w:sz w:val="20"/>
              </w:rPr>
              <w:t>~18.5%</w:t>
            </w:r>
          </w:p>
        </w:tc>
        <w:tc>
          <w:tcPr>
            <w:tcW w:type="dxa" w:w="2340"/>
          </w:tcPr>
          <w:p>
            <w:r/>
            <w:r>
              <w:rPr>
                <w:rFonts w:ascii="Arial" w:hAnsi="Arial"/>
                <w:sz w:val="20"/>
              </w:rPr>
              <w:t>~€3.97m</w:t>
            </w:r>
          </w:p>
        </w:tc>
      </w:tr>
      <w:tr>
        <w:tc>
          <w:tcPr>
            <w:tcW w:type="dxa" w:w="2340"/>
          </w:tcPr>
          <w:p>
            <w:r/>
            <w:r>
              <w:rPr>
                <w:rFonts w:ascii="Arial" w:hAnsi="Arial"/>
                <w:sz w:val="20"/>
              </w:rPr>
              <w:t>Top 10 clients</w:t>
            </w:r>
          </w:p>
        </w:tc>
        <w:tc>
          <w:tcPr>
            <w:tcW w:type="dxa" w:w="2340"/>
          </w:tcPr>
          <w:p>
            <w:r/>
            <w:r>
              <w:rPr>
                <w:rFonts w:ascii="Arial" w:hAnsi="Arial"/>
                <w:sz w:val="20"/>
              </w:rPr>
              <w:t>29.0%</w:t>
            </w:r>
          </w:p>
        </w:tc>
        <w:tc>
          <w:tcPr>
            <w:tcW w:type="dxa" w:w="2340"/>
          </w:tcPr>
          <w:p>
            <w:r/>
            <w:r>
              <w:rPr>
                <w:rFonts w:ascii="Arial" w:hAnsi="Arial"/>
                <w:sz w:val="20"/>
              </w:rPr>
              <w:t>~27.0%</w:t>
            </w:r>
          </w:p>
        </w:tc>
        <w:tc>
          <w:tcPr>
            <w:tcW w:type="dxa" w:w="2340"/>
          </w:tcPr>
          <w:p>
            <w:r/>
            <w:r>
              <w:rPr>
                <w:rFonts w:ascii="Arial" w:hAnsi="Arial"/>
                <w:sz w:val="20"/>
              </w:rPr>
              <w:t>~€5.79m</w:t>
            </w:r>
          </w:p>
        </w:tc>
      </w:tr>
      <w:tr>
        <w:tc>
          <w:tcPr>
            <w:tcW w:type="dxa" w:w="2340"/>
          </w:tcPr>
          <w:p>
            <w:r/>
            <w:r>
              <w:rPr>
                <w:rFonts w:ascii="Arial" w:hAnsi="Arial"/>
                <w:sz w:val="20"/>
              </w:rPr>
              <w:t>Top 20 clients</w:t>
            </w:r>
          </w:p>
        </w:tc>
        <w:tc>
          <w:tcPr>
            <w:tcW w:type="dxa" w:w="2340"/>
          </w:tcPr>
          <w:p>
            <w:r/>
            <w:r>
              <w:rPr>
                <w:rFonts w:ascii="Arial" w:hAnsi="Arial"/>
                <w:sz w:val="20"/>
              </w:rPr>
              <w:t>38.0%</w:t>
            </w:r>
          </w:p>
        </w:tc>
        <w:tc>
          <w:tcPr>
            <w:tcW w:type="dxa" w:w="2340"/>
          </w:tcPr>
          <w:p>
            <w:r/>
            <w:r>
              <w:rPr>
                <w:rFonts w:ascii="Arial" w:hAnsi="Arial"/>
                <w:sz w:val="20"/>
              </w:rPr>
              <w:t>~39.4%</w:t>
            </w:r>
          </w:p>
        </w:tc>
        <w:tc>
          <w:tcPr>
            <w:tcW w:type="dxa" w:w="2340"/>
          </w:tcPr>
          <w:p>
            <w:r/>
            <w:r>
              <w:rPr>
                <w:rFonts w:ascii="Arial" w:hAnsi="Arial"/>
                <w:sz w:val="20"/>
              </w:rPr>
              <w:t>~€8.44m</w:t>
            </w:r>
          </w:p>
        </w:tc>
      </w:tr>
      <w:tr>
        <w:tc>
          <w:tcPr>
            <w:tcW w:type="dxa" w:w="2340"/>
          </w:tcPr>
          <w:p>
            <w:r/>
            <w:r>
              <w:rPr>
                <w:rFonts w:ascii="Arial" w:hAnsi="Arial"/>
                <w:sz w:val="20"/>
              </w:rPr>
              <w:t>Top decile (169 clients)</w:t>
            </w:r>
          </w:p>
        </w:tc>
        <w:tc>
          <w:tcPr>
            <w:tcW w:type="dxa" w:w="2340"/>
          </w:tcPr>
          <w:p>
            <w:r/>
            <w:r>
              <w:rPr>
                <w:rFonts w:ascii="Arial" w:hAnsi="Arial"/>
                <w:sz w:val="20"/>
              </w:rPr>
              <w:t>—</w:t>
            </w:r>
          </w:p>
        </w:tc>
        <w:tc>
          <w:tcPr>
            <w:tcW w:type="dxa" w:w="2340"/>
          </w:tcPr>
          <w:p>
            <w:r/>
            <w:r>
              <w:rPr>
                <w:rFonts w:ascii="Arial" w:hAnsi="Arial"/>
                <w:sz w:val="20"/>
              </w:rPr>
              <w:t>69.0%</w:t>
            </w:r>
          </w:p>
        </w:tc>
        <w:tc>
          <w:tcPr>
            <w:tcW w:type="dxa" w:w="2340"/>
          </w:tcPr>
          <w:p>
            <w:r/>
            <w:r>
              <w:rPr>
                <w:rFonts w:ascii="Arial" w:hAnsi="Arial"/>
                <w:sz w:val="20"/>
              </w:rPr>
              <w:t>€14.78m</w:t>
            </w:r>
          </w:p>
        </w:tc>
      </w:tr>
      <w:tr>
        <w:tc>
          <w:tcPr>
            <w:tcW w:type="dxa" w:w="2340"/>
          </w:tcPr>
          <w:p>
            <w:r/>
            <w:r>
              <w:rPr>
                <w:rFonts w:ascii="Arial" w:hAnsi="Arial"/>
                <w:sz w:val="20"/>
              </w:rPr>
              <w:t>HHI</w:t>
            </w:r>
          </w:p>
        </w:tc>
        <w:tc>
          <w:tcPr>
            <w:tcW w:type="dxa" w:w="2340"/>
          </w:tcPr>
          <w:p>
            <w:r/>
            <w:r>
              <w:rPr>
                <w:rFonts w:ascii="Arial" w:hAnsi="Arial"/>
                <w:sz w:val="20"/>
              </w:rPr>
              <w:t>0.0140</w:t>
            </w:r>
          </w:p>
        </w:tc>
        <w:tc>
          <w:tcPr>
            <w:tcW w:type="dxa" w:w="2340"/>
          </w:tcPr>
          <w:p>
            <w:r/>
            <w:r>
              <w:rPr>
                <w:rFonts w:ascii="Arial" w:hAnsi="Arial"/>
                <w:sz w:val="20"/>
              </w:rPr>
              <w:t>0.0106</w:t>
            </w:r>
          </w:p>
        </w:tc>
        <w:tc>
          <w:tcPr>
            <w:tcW w:type="dxa" w:w="2340"/>
          </w:tcPr>
          <w:p>
            <w:r/>
            <w:r>
              <w:rPr>
                <w:rFonts w:ascii="Arial" w:hAnsi="Arial"/>
                <w:sz w:val="20"/>
              </w:rPr>
              <w:t>↓ Improving</w:t>
            </w:r>
          </w:p>
        </w:tc>
      </w:tr>
    </w:tbl>
    <w:p/>
    <w:p>
      <w:r>
        <w:t>Client retention analysis reveals an accelerating attrition trend. The 2021 cohort of clients (those first purchasing in FY2021) retained 78% into FY2022, but only 53% were still active by LTM23 — a 25-percentage-point erosion over two years. This trajectory, if sustained, implies that a growing proportion of the client base is cycling through a one-to-two-year engagement window before lapsing, rather than developing into durable long-term distributor relationships.</w:t>
      </w:r>
    </w:p>
    <w:p>
      <w:r>
        <w:drawing>
          <wp:inline xmlns:a="http://schemas.openxmlformats.org/drawingml/2006/main" xmlns:pic="http://schemas.openxmlformats.org/drawingml/2006/picture">
            <wp:extent cx="5486400" cy="2337386"/>
            <wp:docPr id="21" name="Picture 21"/>
            <wp:cNvGraphicFramePr>
              <a:graphicFrameLocks noChangeAspect="1"/>
            </wp:cNvGraphicFramePr>
            <a:graphic>
              <a:graphicData uri="http://schemas.openxmlformats.org/drawingml/2006/picture">
                <pic:pic>
                  <pic:nvPicPr>
                    <pic:cNvPr id="0" name="iter7_ws_cohort_retention.png"/>
                    <pic:cNvPicPr/>
                  </pic:nvPicPr>
                  <pic:blipFill>
                    <a:blip r:embed="rId29"/>
                    <a:stretch>
                      <a:fillRect/>
                    </a:stretch>
                  </pic:blipFill>
                  <pic:spPr>
                    <a:xfrm>
                      <a:off x="0" y="0"/>
                      <a:ext cx="5486400" cy="2337386"/>
                    </a:xfrm>
                    <a:prstGeom prst="rect"/>
                  </pic:spPr>
                </pic:pic>
              </a:graphicData>
            </a:graphic>
          </wp:inline>
        </w:drawing>
      </w:r>
    </w:p>
    <w:p>
      <w:r>
        <w:drawing>
          <wp:inline xmlns:a="http://schemas.openxmlformats.org/drawingml/2006/main" xmlns:pic="http://schemas.openxmlformats.org/drawingml/2006/picture">
            <wp:extent cx="5486400" cy="2337386"/>
            <wp:docPr id="22" name="Picture 22"/>
            <wp:cNvGraphicFramePr>
              <a:graphicFrameLocks noChangeAspect="1"/>
            </wp:cNvGraphicFramePr>
            <a:graphic>
              <a:graphicData uri="http://schemas.openxmlformats.org/drawingml/2006/picture">
                <pic:pic>
                  <pic:nvPicPr>
                    <pic:cNvPr id="0" name="iter7_ws_concentration_lorenz.png"/>
                    <pic:cNvPicPr/>
                  </pic:nvPicPr>
                  <pic:blipFill>
                    <a:blip r:embed="rId30"/>
                    <a:stretch>
                      <a:fillRect/>
                    </a:stretch>
                  </pic:blipFill>
                  <pic:spPr>
                    <a:xfrm>
                      <a:off x="0" y="0"/>
                      <a:ext cx="5486400" cy="2337386"/>
                    </a:xfrm>
                    <a:prstGeom prst="rect"/>
                  </pic:spPr>
                </pic:pic>
              </a:graphicData>
            </a:graphic>
          </wp:inline>
        </w:drawing>
      </w:r>
    </w:p>
    <w:p>
      <w:pPr>
        <w:pStyle w:val="Heading3"/>
      </w:pPr>
      <w:r>
        <w:rPr>
          <w:rFonts w:ascii="Arial" w:hAnsi="Arial"/>
          <w:color w:val="26890D"/>
        </w:rPr>
        <w:t>4.3 Top Wholesale Account Bifurcation</w:t>
      </w:r>
    </w:p>
    <w:p>
      <w:r/>
      <w:r>
        <w:rPr>
          <w:b/>
        </w:rPr>
        <w:t>Basis of Preparation.</w:t>
      </w:r>
      <w:r>
        <w:t xml:space="preserve"> The top 20 wholesale accounts were identified by LTM23 revenue rank. YoY growth was computed as the change from PLTM22 revenue to LTM23 revenue for each account. Product basket composition (Stable%, NE%, Bust%) was computed as the share of each client's LTM23 wholesale revenue attributable to models in each lifecycle classification. Accounts were grouped into "Growing" and "Declining" sub-sets based on positive or negative YoY revenue change. Lifecycle basket averages were computed for each group.</w:t>
      </w:r>
    </w:p>
    <w:p>
      <w:r>
        <w:t>Among the top 20 wholesale accounts, a structurally important bifurcation has emerged between those growing their spend and those declining. Growing accounts include ASH SHOE CO. (+24.2%), BUY SHOES SL (+43.6%), and MODIVO (+25.6%), as well as several accounts posting exceptional step-change growth (COMERCIALIZADORA, SIMMS SIGAL LINWOOD at multiples of prior-year spend). Declining accounts include VAN DEN ASSEM SCHOENEN BV (–47.5%), NORDSTROM (–13.9%), and O MODA SCHOENEN BV (–21.6%).</w:t>
      </w:r>
    </w:p>
    <w:p>
      <w:r>
        <w:t>The product basket composition of these two groups diverges systematically: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Client Group</w:t>
            </w:r>
          </w:p>
        </w:tc>
        <w:tc>
          <w:tcPr>
            <w:tcW w:type="dxa" w:w="2340"/>
            <w:shd w:val="clear" w:color="auto" w:fill="046A38"/>
          </w:tcPr>
          <w:p>
            <w:r>
              <w:rPr>
                <w:b/>
                <w:color w:val="FFFFFF"/>
              </w:rPr>
            </w:r>
            <w:r>
              <w:rPr>
                <w:rFonts w:ascii="Arial" w:hAnsi="Arial"/>
                <w:b/>
                <w:color w:val="FFFFFF"/>
                <w:sz w:val="20"/>
              </w:rPr>
              <w:t>Avg Stable%</w:t>
            </w:r>
          </w:p>
        </w:tc>
        <w:tc>
          <w:tcPr>
            <w:tcW w:type="dxa" w:w="2340"/>
            <w:shd w:val="clear" w:color="auto" w:fill="046A38"/>
          </w:tcPr>
          <w:p>
            <w:r>
              <w:rPr>
                <w:b/>
                <w:color w:val="FFFFFF"/>
              </w:rPr>
            </w:r>
            <w:r>
              <w:rPr>
                <w:rFonts w:ascii="Arial" w:hAnsi="Arial"/>
                <w:b/>
                <w:color w:val="FFFFFF"/>
                <w:sz w:val="20"/>
              </w:rPr>
              <w:t>Avg NE%</w:t>
            </w:r>
          </w:p>
        </w:tc>
        <w:tc>
          <w:tcPr>
            <w:tcW w:type="dxa" w:w="2340"/>
            <w:shd w:val="clear" w:color="auto" w:fill="046A38"/>
          </w:tcPr>
          <w:p>
            <w:r>
              <w:rPr>
                <w:b/>
                <w:color w:val="FFFFFF"/>
              </w:rPr>
            </w:r>
            <w:r>
              <w:rPr>
                <w:rFonts w:ascii="Arial" w:hAnsi="Arial"/>
                <w:b/>
                <w:color w:val="FFFFFF"/>
                <w:sz w:val="20"/>
              </w:rPr>
              <w:t>YoY Performance</w:t>
            </w:r>
          </w:p>
        </w:tc>
      </w:tr>
      <w:tr>
        <w:tc>
          <w:tcPr>
            <w:tcW w:type="dxa" w:w="2340"/>
          </w:tcPr>
          <w:p>
            <w:r/>
            <w:r>
              <w:rPr>
                <w:rFonts w:ascii="Arial" w:hAnsi="Arial"/>
                <w:sz w:val="20"/>
              </w:rPr>
              <w:t>Growing top-20 accounts</w:t>
            </w:r>
          </w:p>
        </w:tc>
        <w:tc>
          <w:tcPr>
            <w:tcW w:type="dxa" w:w="2340"/>
          </w:tcPr>
          <w:p>
            <w:r/>
            <w:r>
              <w:rPr>
                <w:rFonts w:ascii="Arial" w:hAnsi="Arial"/>
                <w:sz w:val="20"/>
              </w:rPr>
              <w:t>45.7%</w:t>
            </w:r>
          </w:p>
        </w:tc>
        <w:tc>
          <w:tcPr>
            <w:tcW w:type="dxa" w:w="2340"/>
          </w:tcPr>
          <w:p>
            <w:r/>
            <w:r>
              <w:rPr>
                <w:rFonts w:ascii="Arial" w:hAnsi="Arial"/>
                <w:sz w:val="20"/>
              </w:rPr>
              <w:t>52.2%</w:t>
            </w:r>
          </w:p>
        </w:tc>
        <w:tc>
          <w:tcPr>
            <w:tcW w:type="dxa" w:w="2340"/>
          </w:tcPr>
          <w:p>
            <w:r/>
            <w:r>
              <w:rPr>
                <w:rFonts w:ascii="Arial" w:hAnsi="Arial"/>
                <w:sz w:val="20"/>
              </w:rPr>
              <w:t>Positive</w:t>
            </w:r>
          </w:p>
        </w:tc>
      </w:tr>
      <w:tr>
        <w:tc>
          <w:tcPr>
            <w:tcW w:type="dxa" w:w="2340"/>
          </w:tcPr>
          <w:p>
            <w:r/>
            <w:r>
              <w:rPr>
                <w:rFonts w:ascii="Arial" w:hAnsi="Arial"/>
                <w:sz w:val="20"/>
              </w:rPr>
              <w:t>Declining top-20 accounts</w:t>
            </w:r>
          </w:p>
        </w:tc>
        <w:tc>
          <w:tcPr>
            <w:tcW w:type="dxa" w:w="2340"/>
          </w:tcPr>
          <w:p>
            <w:r/>
            <w:r>
              <w:rPr>
                <w:rFonts w:ascii="Arial" w:hAnsi="Arial"/>
                <w:sz w:val="20"/>
              </w:rPr>
              <w:t>29.9%</w:t>
            </w:r>
          </w:p>
        </w:tc>
        <w:tc>
          <w:tcPr>
            <w:tcW w:type="dxa" w:w="2340"/>
          </w:tcPr>
          <w:p>
            <w:r/>
            <w:r>
              <w:rPr>
                <w:rFonts w:ascii="Arial" w:hAnsi="Arial"/>
                <w:sz w:val="20"/>
              </w:rPr>
              <w:t>69.9%</w:t>
            </w:r>
          </w:p>
        </w:tc>
        <w:tc>
          <w:tcPr>
            <w:tcW w:type="dxa" w:w="2340"/>
          </w:tcPr>
          <w:p>
            <w:r/>
            <w:r>
              <w:rPr>
                <w:rFonts w:ascii="Arial" w:hAnsi="Arial"/>
                <w:sz w:val="20"/>
              </w:rPr>
              <w:t>Negative</w:t>
            </w:r>
          </w:p>
        </w:tc>
      </w:tr>
    </w:tbl>
    <w:p/>
    <w:p>
      <w:r>
        <w:t>Declining accounts are characterised by high NE model dependency (average 69.9%) and low Stable model penetration (29.9%). The root cause of their decline is not relationship attrition — all three declining accounts remain active and engaged — but rather product lifecycle transition: the legacy "Other"-classified models (predominantly the prior boom-cycle products that had sustained these accounts' ordering patterns) have reached end of commercial life, and NE substitution has not yet compensated volumetrically. VAN DEN ASSEM SCHOENEN BV in particular has an 85.2% NE dependency in LTM23 versus only 8.4% Stable — a basket almost entirely composed of fashion-cycle products with inherent durability risk. NORDSTROM at 64.2% NE / 17.5% Stable shows a similar structural vulnerability, as does O MODA at 58.3% NE.</w:t>
      </w:r>
    </w:p>
    <w:p>
      <w:r>
        <w:t>The broader implication is that growing top-20 accounts — several of which have NE concentrations of 52–60% — are potentially on a trajectory toward the same vulnerability once their current NE cohort ages off. The monotonic relationship between Stable model share and YoY performance (analysed in Section 5) confirms that Stable model penetration is the most reliable leading indicator of account health.</w:t>
      </w:r>
    </w:p>
    <w:p>
      <w:r>
        <w:drawing>
          <wp:inline xmlns:a="http://schemas.openxmlformats.org/drawingml/2006/main" xmlns:pic="http://schemas.openxmlformats.org/drawingml/2006/picture">
            <wp:extent cx="5486400" cy="2723465"/>
            <wp:docPr id="23" name="Picture 23"/>
            <wp:cNvGraphicFramePr>
              <a:graphicFrameLocks noChangeAspect="1"/>
            </wp:cNvGraphicFramePr>
            <a:graphic>
              <a:graphicData uri="http://schemas.openxmlformats.org/drawingml/2006/picture">
                <pic:pic>
                  <pic:nvPicPr>
                    <pic:cNvPr id="0" name="iter1_top20_ws_client_yoy.png"/>
                    <pic:cNvPicPr/>
                  </pic:nvPicPr>
                  <pic:blipFill>
                    <a:blip r:embed="rId31"/>
                    <a:stretch>
                      <a:fillRect/>
                    </a:stretch>
                  </pic:blipFill>
                  <pic:spPr>
                    <a:xfrm>
                      <a:off x="0" y="0"/>
                      <a:ext cx="5486400" cy="2723465"/>
                    </a:xfrm>
                    <a:prstGeom prst="rect"/>
                  </pic:spPr>
                </pic:pic>
              </a:graphicData>
            </a:graphic>
          </wp:inline>
        </w:drawing>
      </w:r>
    </w:p>
    <w:p/>
    <w:p>
      <w:pPr>
        <w:pStyle w:val="Heading2"/>
      </w:pPr>
      <w:r>
        <w:rPr>
          <w:rFonts w:ascii="Arial" w:hAnsi="Arial"/>
          <w:color w:val="26890D"/>
        </w:rPr>
        <w:t>Section 5: Product Lifecycle Risk Within the Wholesale Client Base</w:t>
      </w:r>
    </w:p>
    <w:p>
      <w:pPr>
        <w:pStyle w:val="Heading3"/>
      </w:pPr>
      <w:r>
        <w:rPr>
          <w:rFonts w:ascii="Arial" w:hAnsi="Arial"/>
          <w:color w:val="26890D"/>
        </w:rPr>
        <w:t>5.1 Near-Complete Portfolio Rotation in the Wholesale Channel</w:t>
      </w:r>
    </w:p>
    <w:p>
      <w:r/>
      <w:r>
        <w:rPr>
          <w:b/>
        </w:rPr>
        <w:t>Basis of Preparation.</w:t>
      </w:r>
      <w:r>
        <w:t xml:space="preserve"> Wholesale-only transactions were filtered and lifecycle classifications (NE, Stable, Bust, Other) were applied to each model as per the methodology in Section 3.1. Revenue was aggregated by lifecycle class for PLTM22 (May 2021–April 2022) and LTM23 (May 2022–April 2023). This "bridge" analysis isolates the wholesale channel's lifecycle mix evolution and quantifies the magnitude of the Bust-to-NE portfolio rotation.</w:t>
      </w:r>
    </w:p>
    <w:p>
      <w:r>
        <w:t>The wholesale channel has undergone a portfolio rotation of exceptional velocity over the twelve months separating PLTM22 and LTM23. Bust-category models — those in terminal revenue decline following a prior-period peak — accounted for 54.7% of PLTM22 wholesale revenue (€7.59m) but have collapsed to 0.9% (€0.19m) in LTM23, a reduction of €7.4m. This Bust cliff has been almost entirely offset by NE model adoption, which grew from 4.1% (€0.57m) in PLTM22 to 59.0% (€12.65m) in LTM23 — an increase of €12.1m. Stable models remained broadly flat as a revenue contributor (~40% in both periods).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Lifecycle Category</w:t>
            </w:r>
          </w:p>
        </w:tc>
        <w:tc>
          <w:tcPr>
            <w:tcW w:type="dxa" w:w="1560"/>
            <w:shd w:val="clear" w:color="auto" w:fill="046A38"/>
          </w:tcPr>
          <w:p>
            <w:r>
              <w:rPr>
                <w:b/>
                <w:color w:val="FFFFFF"/>
              </w:rPr>
            </w:r>
            <w:r>
              <w:rPr>
                <w:rFonts w:ascii="Arial" w:hAnsi="Arial"/>
                <w:b/>
                <w:color w:val="FFFFFF"/>
                <w:sz w:val="20"/>
              </w:rPr>
              <w:t>PLTM22 WS Revenue</w:t>
            </w:r>
          </w:p>
        </w:tc>
        <w:tc>
          <w:tcPr>
            <w:tcW w:type="dxa" w:w="1560"/>
            <w:shd w:val="clear" w:color="auto" w:fill="046A38"/>
          </w:tcPr>
          <w:p>
            <w:r>
              <w:rPr>
                <w:b/>
                <w:color w:val="FFFFFF"/>
              </w:rPr>
            </w:r>
            <w:r>
              <w:rPr>
                <w:rFonts w:ascii="Arial" w:hAnsi="Arial"/>
                <w:b/>
                <w:color w:val="FFFFFF"/>
                <w:sz w:val="20"/>
              </w:rPr>
              <w:t>PLTM22 Share</w:t>
            </w:r>
          </w:p>
        </w:tc>
        <w:tc>
          <w:tcPr>
            <w:tcW w:type="dxa" w:w="1560"/>
            <w:shd w:val="clear" w:color="auto" w:fill="046A38"/>
          </w:tcPr>
          <w:p>
            <w:r>
              <w:rPr>
                <w:b/>
                <w:color w:val="FFFFFF"/>
              </w:rPr>
            </w:r>
            <w:r>
              <w:rPr>
                <w:rFonts w:ascii="Arial" w:hAnsi="Arial"/>
                <w:b/>
                <w:color w:val="FFFFFF"/>
                <w:sz w:val="20"/>
              </w:rPr>
              <w:t>LTM23 WS Revenue</w:t>
            </w:r>
          </w:p>
        </w:tc>
        <w:tc>
          <w:tcPr>
            <w:tcW w:type="dxa" w:w="1560"/>
            <w:shd w:val="clear" w:color="auto" w:fill="046A38"/>
          </w:tcPr>
          <w:p>
            <w:r>
              <w:rPr>
                <w:b/>
                <w:color w:val="FFFFFF"/>
              </w:rPr>
            </w:r>
            <w:r>
              <w:rPr>
                <w:rFonts w:ascii="Arial" w:hAnsi="Arial"/>
                <w:b/>
                <w:color w:val="FFFFFF"/>
                <w:sz w:val="20"/>
              </w:rPr>
              <w:t>LTM23 Share</w:t>
            </w:r>
          </w:p>
        </w:tc>
        <w:tc>
          <w:tcPr>
            <w:tcW w:type="dxa" w:w="1560"/>
            <w:shd w:val="clear" w:color="auto" w:fill="046A38"/>
          </w:tcPr>
          <w:p>
            <w:r>
              <w:rPr>
                <w:b/>
                <w:color w:val="FFFFFF"/>
              </w:rPr>
            </w:r>
            <w:r>
              <w:rPr>
                <w:rFonts w:ascii="Arial" w:hAnsi="Arial"/>
                <w:b/>
                <w:color w:val="FFFFFF"/>
                <w:sz w:val="20"/>
              </w:rPr>
              <w:t>Change</w:t>
            </w:r>
          </w:p>
        </w:tc>
      </w:tr>
      <w:tr>
        <w:tc>
          <w:tcPr>
            <w:tcW w:type="dxa" w:w="1560"/>
          </w:tcPr>
          <w:p>
            <w:r/>
            <w:r>
              <w:rPr>
                <w:rFonts w:ascii="Arial" w:hAnsi="Arial"/>
                <w:sz w:val="20"/>
              </w:rPr>
              <w:t>New Entrant (NE)</w:t>
            </w:r>
          </w:p>
        </w:tc>
        <w:tc>
          <w:tcPr>
            <w:tcW w:type="dxa" w:w="1560"/>
          </w:tcPr>
          <w:p>
            <w:r/>
            <w:r>
              <w:rPr>
                <w:rFonts w:ascii="Arial" w:hAnsi="Arial"/>
                <w:sz w:val="20"/>
              </w:rPr>
              <w:t>€0.57m</w:t>
            </w:r>
          </w:p>
        </w:tc>
        <w:tc>
          <w:tcPr>
            <w:tcW w:type="dxa" w:w="1560"/>
          </w:tcPr>
          <w:p>
            <w:r/>
            <w:r>
              <w:rPr>
                <w:rFonts w:ascii="Arial" w:hAnsi="Arial"/>
                <w:sz w:val="20"/>
              </w:rPr>
              <w:t>4.1%</w:t>
            </w:r>
          </w:p>
        </w:tc>
        <w:tc>
          <w:tcPr>
            <w:tcW w:type="dxa" w:w="1560"/>
          </w:tcPr>
          <w:p>
            <w:r/>
            <w:r>
              <w:rPr>
                <w:rFonts w:ascii="Arial" w:hAnsi="Arial"/>
                <w:sz w:val="20"/>
              </w:rPr>
              <w:t>€12.65m</w:t>
            </w:r>
          </w:p>
        </w:tc>
        <w:tc>
          <w:tcPr>
            <w:tcW w:type="dxa" w:w="1560"/>
          </w:tcPr>
          <w:p>
            <w:r/>
            <w:r>
              <w:rPr>
                <w:rFonts w:ascii="Arial" w:hAnsi="Arial"/>
                <w:sz w:val="20"/>
              </w:rPr>
              <w:t>59.0%</w:t>
            </w:r>
          </w:p>
        </w:tc>
        <w:tc>
          <w:tcPr>
            <w:tcW w:type="dxa" w:w="1560"/>
          </w:tcPr>
          <w:p>
            <w:r/>
            <w:r>
              <w:rPr>
                <w:rFonts w:ascii="Arial" w:hAnsi="Arial"/>
                <w:sz w:val="20"/>
              </w:rPr>
              <w:t>+€12.1m</w:t>
            </w:r>
          </w:p>
        </w:tc>
      </w:tr>
      <w:tr>
        <w:tc>
          <w:tcPr>
            <w:tcW w:type="dxa" w:w="1560"/>
          </w:tcPr>
          <w:p>
            <w:r/>
            <w:r>
              <w:rPr>
                <w:rFonts w:ascii="Arial" w:hAnsi="Arial"/>
                <w:sz w:val="20"/>
              </w:rPr>
              <w:t>Stable</w:t>
            </w:r>
          </w:p>
        </w:tc>
        <w:tc>
          <w:tcPr>
            <w:tcW w:type="dxa" w:w="1560"/>
          </w:tcPr>
          <w:p>
            <w:r/>
            <w:r>
              <w:rPr>
                <w:rFonts w:ascii="Arial" w:hAnsi="Arial"/>
                <w:sz w:val="20"/>
              </w:rPr>
              <w:t>~€5.5m</w:t>
            </w:r>
          </w:p>
        </w:tc>
        <w:tc>
          <w:tcPr>
            <w:tcW w:type="dxa" w:w="1560"/>
          </w:tcPr>
          <w:p>
            <w:r/>
            <w:r>
              <w:rPr>
                <w:rFonts w:ascii="Arial" w:hAnsi="Arial"/>
                <w:sz w:val="20"/>
              </w:rPr>
              <w:t>~40%</w:t>
            </w:r>
          </w:p>
        </w:tc>
        <w:tc>
          <w:tcPr>
            <w:tcW w:type="dxa" w:w="1560"/>
          </w:tcPr>
          <w:p>
            <w:r/>
            <w:r>
              <w:rPr>
                <w:rFonts w:ascii="Arial" w:hAnsi="Arial"/>
                <w:sz w:val="20"/>
              </w:rPr>
              <w:t>~€8.4m</w:t>
            </w:r>
          </w:p>
        </w:tc>
        <w:tc>
          <w:tcPr>
            <w:tcW w:type="dxa" w:w="1560"/>
          </w:tcPr>
          <w:p>
            <w:r/>
            <w:r>
              <w:rPr>
                <w:rFonts w:ascii="Arial" w:hAnsi="Arial"/>
                <w:sz w:val="20"/>
              </w:rPr>
              <w:t>~39%</w:t>
            </w:r>
          </w:p>
        </w:tc>
        <w:tc>
          <w:tcPr>
            <w:tcW w:type="dxa" w:w="1560"/>
          </w:tcPr>
          <w:p>
            <w:r/>
            <w:r>
              <w:rPr>
                <w:rFonts w:ascii="Arial" w:hAnsi="Arial"/>
                <w:sz w:val="20"/>
              </w:rPr>
              <w:t>+€2.9m</w:t>
            </w:r>
          </w:p>
        </w:tc>
      </w:tr>
      <w:tr>
        <w:tc>
          <w:tcPr>
            <w:tcW w:type="dxa" w:w="1560"/>
          </w:tcPr>
          <w:p>
            <w:r/>
            <w:r>
              <w:rPr>
                <w:rFonts w:ascii="Arial" w:hAnsi="Arial"/>
                <w:sz w:val="20"/>
              </w:rPr>
              <w:t>Bust</w:t>
            </w:r>
          </w:p>
        </w:tc>
        <w:tc>
          <w:tcPr>
            <w:tcW w:type="dxa" w:w="1560"/>
          </w:tcPr>
          <w:p>
            <w:r/>
            <w:r>
              <w:rPr>
                <w:rFonts w:ascii="Arial" w:hAnsi="Arial"/>
                <w:sz w:val="20"/>
              </w:rPr>
              <w:t>€7.59m</w:t>
            </w:r>
          </w:p>
        </w:tc>
        <w:tc>
          <w:tcPr>
            <w:tcW w:type="dxa" w:w="1560"/>
          </w:tcPr>
          <w:p>
            <w:r/>
            <w:r>
              <w:rPr>
                <w:rFonts w:ascii="Arial" w:hAnsi="Arial"/>
                <w:sz w:val="20"/>
              </w:rPr>
              <w:t>54.7%</w:t>
            </w:r>
          </w:p>
        </w:tc>
        <w:tc>
          <w:tcPr>
            <w:tcW w:type="dxa" w:w="1560"/>
          </w:tcPr>
          <w:p>
            <w:r/>
            <w:r>
              <w:rPr>
                <w:rFonts w:ascii="Arial" w:hAnsi="Arial"/>
                <w:sz w:val="20"/>
              </w:rPr>
              <w:t>€0.19m</w:t>
            </w:r>
          </w:p>
        </w:tc>
        <w:tc>
          <w:tcPr>
            <w:tcW w:type="dxa" w:w="1560"/>
          </w:tcPr>
          <w:p>
            <w:r/>
            <w:r>
              <w:rPr>
                <w:rFonts w:ascii="Arial" w:hAnsi="Arial"/>
                <w:sz w:val="20"/>
              </w:rPr>
              <w:t>0.9%</w:t>
            </w:r>
          </w:p>
        </w:tc>
        <w:tc>
          <w:tcPr>
            <w:tcW w:type="dxa" w:w="1560"/>
          </w:tcPr>
          <w:p>
            <w:r/>
            <w:r>
              <w:rPr>
                <w:rFonts w:ascii="Arial" w:hAnsi="Arial"/>
                <w:sz w:val="20"/>
              </w:rPr>
              <w:t>–€7.4m</w:t>
            </w:r>
          </w:p>
        </w:tc>
      </w:tr>
      <w:tr>
        <w:tc>
          <w:tcPr>
            <w:tcW w:type="dxa" w:w="1560"/>
          </w:tcPr>
          <w:p>
            <w:r/>
            <w:r>
              <w:rPr>
                <w:rFonts w:ascii="Arial" w:hAnsi="Arial"/>
                <w:sz w:val="20"/>
              </w:rPr>
              <w:t>Other/Legacy</w:t>
            </w:r>
          </w:p>
        </w:tc>
        <w:tc>
          <w:tcPr>
            <w:tcW w:type="dxa" w:w="1560"/>
          </w:tcPr>
          <w:p>
            <w:r/>
            <w:r>
              <w:rPr>
                <w:rFonts w:ascii="Arial" w:hAnsi="Arial"/>
                <w:sz w:val="20"/>
              </w:rPr>
              <w:t>—</w:t>
            </w:r>
          </w:p>
        </w:tc>
        <w:tc>
          <w:tcPr>
            <w:tcW w:type="dxa" w:w="1560"/>
          </w:tcPr>
          <w:p>
            <w:r/>
            <w:r>
              <w:rPr>
                <w:rFonts w:ascii="Arial" w:hAnsi="Arial"/>
                <w:sz w:val="20"/>
              </w:rPr>
              <w:t>—</w:t>
            </w:r>
          </w:p>
        </w:tc>
        <w:tc>
          <w:tcPr>
            <w:tcW w:type="dxa" w:w="1560"/>
          </w:tcPr>
          <w:p>
            <w:r/>
            <w:r>
              <w:rPr>
                <w:rFonts w:ascii="Arial" w:hAnsi="Arial"/>
                <w:sz w:val="20"/>
              </w:rPr>
              <w:t>—</w:t>
            </w:r>
          </w:p>
        </w:tc>
        <w:tc>
          <w:tcPr>
            <w:tcW w:type="dxa" w:w="1560"/>
          </w:tcPr>
          <w:p>
            <w:r/>
            <w:r>
              <w:rPr>
                <w:rFonts w:ascii="Arial" w:hAnsi="Arial"/>
                <w:sz w:val="20"/>
              </w:rPr>
              <w:t>—</w:t>
            </w:r>
          </w:p>
        </w:tc>
        <w:tc>
          <w:tcPr>
            <w:tcW w:type="dxa" w:w="1560"/>
          </w:tcPr>
          <w:p>
            <w:r/>
            <w:r>
              <w:rPr>
                <w:rFonts w:ascii="Arial" w:hAnsi="Arial"/>
                <w:sz w:val="20"/>
              </w:rPr>
              <w:t>—</w:t>
            </w:r>
          </w:p>
        </w:tc>
      </w:tr>
    </w:tbl>
    <w:p/>
    <w:p>
      <w:r>
        <w:drawing>
          <wp:inline xmlns:a="http://schemas.openxmlformats.org/drawingml/2006/main" xmlns:pic="http://schemas.openxmlformats.org/drawingml/2006/picture">
            <wp:extent cx="5486400" cy="2392339"/>
            <wp:docPr id="24" name="Picture 24"/>
            <wp:cNvGraphicFramePr>
              <a:graphicFrameLocks noChangeAspect="1"/>
            </wp:cNvGraphicFramePr>
            <a:graphic>
              <a:graphicData uri="http://schemas.openxmlformats.org/drawingml/2006/picture">
                <pic:pic>
                  <pic:nvPicPr>
                    <pic:cNvPr id="0" name="iter9_ws_lifecycle_revenue_bridge.png"/>
                    <pic:cNvPicPr/>
                  </pic:nvPicPr>
                  <pic:blipFill>
                    <a:blip r:embed="rId32"/>
                    <a:stretch>
                      <a:fillRect/>
                    </a:stretch>
                  </pic:blipFill>
                  <pic:spPr>
                    <a:xfrm>
                      <a:off x="0" y="0"/>
                      <a:ext cx="5486400" cy="2392339"/>
                    </a:xfrm>
                    <a:prstGeom prst="rect"/>
                  </pic:spPr>
                </pic:pic>
              </a:graphicData>
            </a:graphic>
          </wp:inline>
        </w:drawing>
      </w:r>
    </w:p>
    <w:p>
      <w:r>
        <w:t>This bridge reveals the fundamental operating dynamic of the wholesale channel: the business absorbed a €7.4m Bust headwind from expiring models and replaced it with €12.1m of NE-driven growth, yielding net wholesale revenue growth of approximately +€4.7m. This is not a model that generates growth through deepening client relationships or expanding share of wallet in stable product categories; it is a model that generates growth through continuous product rotation, with each "wave" of new models replacing the fading tail of the prior wave.</w:t>
      </w:r>
    </w:p>
    <w:p>
      <w:pPr>
        <w:pStyle w:val="Heading3"/>
      </w:pPr>
      <w:r>
        <w:rPr>
          <w:rFonts w:ascii="Arial" w:hAnsi="Arial"/>
          <w:color w:val="26890D"/>
        </w:rPr>
        <w:t>5.2 Stable Model Share as a Leading Indicator of Client Health</w:t>
      </w:r>
    </w:p>
    <w:p>
      <w:r/>
      <w:r>
        <w:rPr>
          <w:b/>
        </w:rPr>
        <w:t>Basis of Preparation.</w:t>
      </w:r>
      <w:r>
        <w:t xml:space="preserve"> Returning wholesale clients (those active in both PLTM22 and LTM23) were sorted by their LTM23 Stable model revenue share (Stable%). Clients were then divided into four equal-sized quartiles (Q1 = lowest 25% Stable share, Q4 = highest 25%). Revenue-weighted average YoY growth rates were computed for each quartile. The same quartile methodology was applied to NE model share (NE%). The monotonicity and statistical significance of the gradient were assessed from the quartile-level summary statistics.</w:t>
      </w:r>
    </w:p>
    <w:p>
      <w:r>
        <w:t>The relationship between Stable model share and account-level YoY growth is among the most important structural findings in this dataset. Across the returning wholesale client base, the revenue-weighted average YoY performance follows a strictly monotonic gradient when clients are sorted by Stable model penetration: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046A38"/>
          </w:tcPr>
          <w:p>
            <w:r>
              <w:rPr>
                <w:b/>
                <w:color w:val="FFFFFF"/>
              </w:rPr>
            </w:r>
            <w:r>
              <w:rPr>
                <w:rFonts w:ascii="Arial" w:hAnsi="Arial"/>
                <w:b/>
                <w:color w:val="FFFFFF"/>
                <w:sz w:val="20"/>
              </w:rPr>
              <w:t>Stable% Quartile</w:t>
            </w:r>
          </w:p>
        </w:tc>
        <w:tc>
          <w:tcPr>
            <w:tcW w:type="dxa" w:w="2340"/>
            <w:shd w:val="clear" w:color="auto" w:fill="046A38"/>
          </w:tcPr>
          <w:p>
            <w:r>
              <w:rPr>
                <w:b/>
                <w:color w:val="FFFFFF"/>
              </w:rPr>
            </w:r>
            <w:r>
              <w:rPr>
                <w:rFonts w:ascii="Arial" w:hAnsi="Arial"/>
                <w:b/>
                <w:color w:val="FFFFFF"/>
                <w:sz w:val="20"/>
              </w:rPr>
              <w:t>Stable Range</w:t>
            </w:r>
          </w:p>
        </w:tc>
        <w:tc>
          <w:tcPr>
            <w:tcW w:type="dxa" w:w="2340"/>
            <w:shd w:val="clear" w:color="auto" w:fill="046A38"/>
          </w:tcPr>
          <w:p>
            <w:r>
              <w:rPr>
                <w:b/>
                <w:color w:val="FFFFFF"/>
              </w:rPr>
            </w:r>
            <w:r>
              <w:rPr>
                <w:rFonts w:ascii="Arial" w:hAnsi="Arial"/>
                <w:b/>
                <w:color w:val="FFFFFF"/>
                <w:sz w:val="20"/>
              </w:rPr>
              <w:t>Revenue-Weighted Avg YoY</w:t>
            </w:r>
          </w:p>
        </w:tc>
        <w:tc>
          <w:tcPr>
            <w:tcW w:type="dxa" w:w="2340"/>
            <w:shd w:val="clear" w:color="auto" w:fill="046A38"/>
          </w:tcPr>
          <w:p>
            <w:r>
              <w:rPr>
                <w:b/>
                <w:color w:val="FFFFFF"/>
              </w:rPr>
            </w:r>
            <w:r>
              <w:rPr>
                <w:rFonts w:ascii="Arial" w:hAnsi="Arial"/>
                <w:b/>
                <w:color w:val="FFFFFF"/>
                <w:sz w:val="20"/>
              </w:rPr>
              <w:t>% of Clients Growing</w:t>
            </w:r>
          </w:p>
        </w:tc>
      </w:tr>
      <w:tr>
        <w:tc>
          <w:tcPr>
            <w:tcW w:type="dxa" w:w="2340"/>
          </w:tcPr>
          <w:p>
            <w:r/>
            <w:r>
              <w:rPr>
                <w:rFonts w:ascii="Arial" w:hAnsi="Arial"/>
                <w:sz w:val="20"/>
              </w:rPr>
              <w:t>Q1 (0–18% Stable)</w:t>
            </w:r>
          </w:p>
        </w:tc>
        <w:tc>
          <w:tcPr>
            <w:tcW w:type="dxa" w:w="2340"/>
          </w:tcPr>
          <w:p>
            <w:r/>
            <w:r>
              <w:rPr>
                <w:rFonts w:ascii="Arial" w:hAnsi="Arial"/>
                <w:sz w:val="20"/>
              </w:rPr>
              <w:t>Lowest Stable</w:t>
            </w:r>
          </w:p>
        </w:tc>
        <w:tc>
          <w:tcPr>
            <w:tcW w:type="dxa" w:w="2340"/>
          </w:tcPr>
          <w:p>
            <w:r/>
            <w:r>
              <w:rPr>
                <w:rFonts w:ascii="Arial" w:hAnsi="Arial"/>
                <w:sz w:val="20"/>
              </w:rPr>
              <w:t>–21.2%</w:t>
            </w:r>
          </w:p>
        </w:tc>
        <w:tc>
          <w:tcPr>
            <w:tcW w:type="dxa" w:w="2340"/>
          </w:tcPr>
          <w:p>
            <w:r/>
            <w:r>
              <w:rPr>
                <w:rFonts w:ascii="Arial" w:hAnsi="Arial"/>
                <w:sz w:val="20"/>
              </w:rPr>
              <w:t>~36%</w:t>
            </w:r>
          </w:p>
        </w:tc>
      </w:tr>
      <w:tr>
        <w:tc>
          <w:tcPr>
            <w:tcW w:type="dxa" w:w="2340"/>
          </w:tcPr>
          <w:p>
            <w:r/>
            <w:r>
              <w:rPr>
                <w:rFonts w:ascii="Arial" w:hAnsi="Arial"/>
                <w:sz w:val="20"/>
              </w:rPr>
              <w:t>Q2 (18–27% Stable)</w:t>
            </w:r>
          </w:p>
        </w:tc>
        <w:tc>
          <w:tcPr>
            <w:tcW w:type="dxa" w:w="2340"/>
          </w:tcPr>
          <w:p>
            <w:r/>
            <w:r>
              <w:rPr>
                <w:rFonts w:ascii="Arial" w:hAnsi="Arial"/>
                <w:sz w:val="20"/>
              </w:rPr>
              <w:t>+31.7%</w:t>
            </w:r>
          </w:p>
        </w:tc>
        <w:tc>
          <w:tcPr>
            <w:tcW w:type="dxa" w:w="2340"/>
          </w:tcPr>
          <w:p>
            <w:r/>
            <w:r>
              <w:rPr>
                <w:rFonts w:ascii="Arial" w:hAnsi="Arial"/>
                <w:sz w:val="20"/>
              </w:rPr>
              <w:t>~52%</w:t>
            </w:r>
          </w:p>
        </w:tc>
        <w:tc>
          <w:tcPr>
            <w:tcW w:type="dxa" w:w="2340"/>
          </w:tcPr>
          <w:p>
            <w:r/>
            <w:r>
              <w:rPr>
                <w:rFonts w:ascii="Arial" w:hAnsi="Arial"/>
                <w:sz w:val="20"/>
              </w:rPr>
            </w:r>
          </w:p>
        </w:tc>
      </w:tr>
      <w:tr>
        <w:tc>
          <w:tcPr>
            <w:tcW w:type="dxa" w:w="2340"/>
          </w:tcPr>
          <w:p>
            <w:r/>
            <w:r>
              <w:rPr>
                <w:rFonts w:ascii="Arial" w:hAnsi="Arial"/>
                <w:sz w:val="20"/>
              </w:rPr>
              <w:t>Q3 (27–39% Stable)</w:t>
            </w:r>
          </w:p>
        </w:tc>
        <w:tc>
          <w:tcPr>
            <w:tcW w:type="dxa" w:w="2340"/>
          </w:tcPr>
          <w:p>
            <w:r/>
            <w:r>
              <w:rPr>
                <w:rFonts w:ascii="Arial" w:hAnsi="Arial"/>
                <w:sz w:val="20"/>
              </w:rPr>
              <w:t>+39.4%</w:t>
            </w:r>
          </w:p>
        </w:tc>
        <w:tc>
          <w:tcPr>
            <w:tcW w:type="dxa" w:w="2340"/>
          </w:tcPr>
          <w:p>
            <w:r/>
            <w:r>
              <w:rPr>
                <w:rFonts w:ascii="Arial" w:hAnsi="Arial"/>
                <w:sz w:val="20"/>
              </w:rPr>
              <w:t>~58%</w:t>
            </w:r>
          </w:p>
        </w:tc>
        <w:tc>
          <w:tcPr>
            <w:tcW w:type="dxa" w:w="2340"/>
          </w:tcPr>
          <w:p>
            <w:r/>
            <w:r>
              <w:rPr>
                <w:rFonts w:ascii="Arial" w:hAnsi="Arial"/>
                <w:sz w:val="20"/>
              </w:rPr>
            </w:r>
          </w:p>
        </w:tc>
      </w:tr>
      <w:tr>
        <w:tc>
          <w:tcPr>
            <w:tcW w:type="dxa" w:w="2340"/>
          </w:tcPr>
          <w:p>
            <w:r/>
            <w:r>
              <w:rPr>
                <w:rFonts w:ascii="Arial" w:hAnsi="Arial"/>
                <w:sz w:val="20"/>
              </w:rPr>
              <w:t>Q4 (39–100% Stable)</w:t>
            </w:r>
          </w:p>
        </w:tc>
        <w:tc>
          <w:tcPr>
            <w:tcW w:type="dxa" w:w="2340"/>
          </w:tcPr>
          <w:p>
            <w:r/>
            <w:r>
              <w:rPr>
                <w:rFonts w:ascii="Arial" w:hAnsi="Arial"/>
                <w:sz w:val="20"/>
              </w:rPr>
              <w:t>Highest Stable</w:t>
            </w:r>
          </w:p>
        </w:tc>
        <w:tc>
          <w:tcPr>
            <w:tcW w:type="dxa" w:w="2340"/>
          </w:tcPr>
          <w:p>
            <w:r/>
            <w:r>
              <w:rPr>
                <w:rFonts w:ascii="Arial" w:hAnsi="Arial"/>
                <w:sz w:val="20"/>
              </w:rPr>
              <w:t>+63.0%</w:t>
            </w:r>
          </w:p>
        </w:tc>
        <w:tc>
          <w:tcPr>
            <w:tcW w:type="dxa" w:w="2340"/>
          </w:tcPr>
          <w:p>
            <w:r/>
            <w:r>
              <w:rPr>
                <w:rFonts w:ascii="Arial" w:hAnsi="Arial"/>
                <w:sz w:val="20"/>
              </w:rPr>
              <w:t>~64%</w:t>
            </w:r>
          </w:p>
        </w:tc>
      </w:tr>
    </w:tbl>
    <w:p/>
    <w:p>
      <w:r>
        <w:t>The inverse gradient applies equally to NE model share: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046A38"/>
          </w:tcPr>
          <w:p>
            <w:r>
              <w:rPr>
                <w:b/>
                <w:color w:val="FFFFFF"/>
              </w:rPr>
            </w:r>
            <w:r>
              <w:rPr>
                <w:rFonts w:ascii="Arial" w:hAnsi="Arial"/>
                <w:b/>
                <w:color w:val="FFFFFF"/>
                <w:sz w:val="20"/>
              </w:rPr>
              <w:t>NE% Quartile</w:t>
            </w:r>
          </w:p>
        </w:tc>
        <w:tc>
          <w:tcPr>
            <w:tcW w:type="dxa" w:w="3120"/>
            <w:shd w:val="clear" w:color="auto" w:fill="046A38"/>
          </w:tcPr>
          <w:p>
            <w:r>
              <w:rPr>
                <w:b/>
                <w:color w:val="FFFFFF"/>
              </w:rPr>
            </w:r>
            <w:r>
              <w:rPr>
                <w:rFonts w:ascii="Arial" w:hAnsi="Arial"/>
                <w:b/>
                <w:color w:val="FFFFFF"/>
                <w:sz w:val="20"/>
              </w:rPr>
              <w:t>NE Range</w:t>
            </w:r>
          </w:p>
        </w:tc>
        <w:tc>
          <w:tcPr>
            <w:tcW w:type="dxa" w:w="3120"/>
            <w:shd w:val="clear" w:color="auto" w:fill="046A38"/>
          </w:tcPr>
          <w:p>
            <w:r>
              <w:rPr>
                <w:b/>
                <w:color w:val="FFFFFF"/>
              </w:rPr>
            </w:r>
            <w:r>
              <w:rPr>
                <w:rFonts w:ascii="Arial" w:hAnsi="Arial"/>
                <w:b/>
                <w:color w:val="FFFFFF"/>
                <w:sz w:val="20"/>
              </w:rPr>
              <w:t>Revenue-Weighted Avg YoY</w:t>
            </w:r>
          </w:p>
        </w:tc>
      </w:tr>
      <w:tr>
        <w:tc>
          <w:tcPr>
            <w:tcW w:type="dxa" w:w="3120"/>
          </w:tcPr>
          <w:p>
            <w:r/>
            <w:r>
              <w:rPr>
                <w:rFonts w:ascii="Arial" w:hAnsi="Arial"/>
                <w:sz w:val="20"/>
              </w:rPr>
              <w:t>Q1 (0–60% NE)</w:t>
            </w:r>
          </w:p>
        </w:tc>
        <w:tc>
          <w:tcPr>
            <w:tcW w:type="dxa" w:w="3120"/>
          </w:tcPr>
          <w:p>
            <w:r/>
            <w:r>
              <w:rPr>
                <w:rFonts w:ascii="Arial" w:hAnsi="Arial"/>
                <w:sz w:val="20"/>
              </w:rPr>
              <w:t>Lowest NE</w:t>
            </w:r>
          </w:p>
        </w:tc>
        <w:tc>
          <w:tcPr>
            <w:tcW w:type="dxa" w:w="3120"/>
          </w:tcPr>
          <w:p>
            <w:r/>
            <w:r>
              <w:rPr>
                <w:rFonts w:ascii="Arial" w:hAnsi="Arial"/>
                <w:sz w:val="20"/>
              </w:rPr>
              <w:t>+67.8%</w:t>
            </w:r>
          </w:p>
        </w:tc>
      </w:tr>
      <w:tr>
        <w:tc>
          <w:tcPr>
            <w:tcW w:type="dxa" w:w="3120"/>
          </w:tcPr>
          <w:p>
            <w:r/>
            <w:r>
              <w:rPr>
                <w:rFonts w:ascii="Arial" w:hAnsi="Arial"/>
                <w:sz w:val="20"/>
              </w:rPr>
              <w:t>Q2 (60–73% NE)</w:t>
            </w:r>
          </w:p>
        </w:tc>
        <w:tc>
          <w:tcPr>
            <w:tcW w:type="dxa" w:w="3120"/>
          </w:tcPr>
          <w:p>
            <w:r/>
            <w:r>
              <w:rPr>
                <w:rFonts w:ascii="Arial" w:hAnsi="Arial"/>
                <w:sz w:val="20"/>
              </w:rPr>
              <w:t>+37.8%</w:t>
            </w:r>
          </w:p>
        </w:tc>
        <w:tc>
          <w:tcPr>
            <w:tcW w:type="dxa" w:w="3120"/>
          </w:tcPr>
          <w:p>
            <w:r/>
            <w:r>
              <w:rPr>
                <w:rFonts w:ascii="Arial" w:hAnsi="Arial"/>
                <w:sz w:val="20"/>
              </w:rPr>
            </w:r>
          </w:p>
        </w:tc>
      </w:tr>
      <w:tr>
        <w:tc>
          <w:tcPr>
            <w:tcW w:type="dxa" w:w="3120"/>
          </w:tcPr>
          <w:p>
            <w:r/>
            <w:r>
              <w:rPr>
                <w:rFonts w:ascii="Arial" w:hAnsi="Arial"/>
                <w:sz w:val="20"/>
              </w:rPr>
              <w:t>Q3 (73–81% NE)</w:t>
            </w:r>
          </w:p>
        </w:tc>
        <w:tc>
          <w:tcPr>
            <w:tcW w:type="dxa" w:w="3120"/>
          </w:tcPr>
          <w:p>
            <w:r/>
            <w:r>
              <w:rPr>
                <w:rFonts w:ascii="Arial" w:hAnsi="Arial"/>
                <w:sz w:val="20"/>
              </w:rPr>
              <w:t>+19.9%</w:t>
            </w:r>
          </w:p>
        </w:tc>
        <w:tc>
          <w:tcPr>
            <w:tcW w:type="dxa" w:w="3120"/>
          </w:tcPr>
          <w:p>
            <w:r/>
            <w:r>
              <w:rPr>
                <w:rFonts w:ascii="Arial" w:hAnsi="Arial"/>
                <w:sz w:val="20"/>
              </w:rPr>
            </w:r>
          </w:p>
        </w:tc>
      </w:tr>
      <w:tr>
        <w:tc>
          <w:tcPr>
            <w:tcW w:type="dxa" w:w="3120"/>
          </w:tcPr>
          <w:p>
            <w:r/>
            <w:r>
              <w:rPr>
                <w:rFonts w:ascii="Arial" w:hAnsi="Arial"/>
                <w:sz w:val="20"/>
              </w:rPr>
              <w:t>Q4 (81–124% NE)</w:t>
            </w:r>
          </w:p>
        </w:tc>
        <w:tc>
          <w:tcPr>
            <w:tcW w:type="dxa" w:w="3120"/>
          </w:tcPr>
          <w:p>
            <w:r/>
            <w:r>
              <w:rPr>
                <w:rFonts w:ascii="Arial" w:hAnsi="Arial"/>
                <w:sz w:val="20"/>
              </w:rPr>
              <w:t>Highest NE</w:t>
            </w:r>
          </w:p>
        </w:tc>
        <w:tc>
          <w:tcPr>
            <w:tcW w:type="dxa" w:w="3120"/>
          </w:tcPr>
          <w:p>
            <w:r/>
            <w:r>
              <w:rPr>
                <w:rFonts w:ascii="Arial" w:hAnsi="Arial"/>
                <w:sz w:val="20"/>
              </w:rPr>
              <w:t>–20.7%</w:t>
            </w:r>
          </w:p>
        </w:tc>
      </w:tr>
    </w:tbl>
    <w:p/>
    <w:p>
      <w:r>
        <w:t>These monotonic gradients confirm that Stable model share is the single most reliable observable predictor of wholesale account growth performance in this dataset. Clients with high Stable penetration consistently outperform those with high NE dependency. This finding has direct implications for account management strategy: identifying and actively growing Stable model placement within each account's assortment is the most evidence-based lever for improving account health and LfL growth sustainability. Accounts in the Q1 Stable (Q4 NE) bucket — those with almost no Stable model exposure — face a structurally unfavourable trajectory absent a deliberate assortment rebalancing.</w:t>
      </w:r>
    </w:p>
    <w:p>
      <w:r>
        <w:drawing>
          <wp:inline xmlns:a="http://schemas.openxmlformats.org/drawingml/2006/main" xmlns:pic="http://schemas.openxmlformats.org/drawingml/2006/picture">
            <wp:extent cx="5486400" cy="2725819"/>
            <wp:docPr id="25" name="Picture 25"/>
            <wp:cNvGraphicFramePr>
              <a:graphicFrameLocks noChangeAspect="1"/>
            </wp:cNvGraphicFramePr>
            <a:graphic>
              <a:graphicData uri="http://schemas.openxmlformats.org/drawingml/2006/picture">
                <pic:pic>
                  <pic:nvPicPr>
                    <pic:cNvPr id="0" name="iter9_client_lifecycle_mix_analysis.png"/>
                    <pic:cNvPicPr/>
                  </pic:nvPicPr>
                  <pic:blipFill>
                    <a:blip r:embed="rId33"/>
                    <a:stretch>
                      <a:fillRect/>
                    </a:stretch>
                  </pic:blipFill>
                  <pic:spPr>
                    <a:xfrm>
                      <a:off x="0" y="0"/>
                      <a:ext cx="5486400" cy="2725819"/>
                    </a:xfrm>
                    <a:prstGeom prst="rect"/>
                  </pic:spPr>
                </pic:pic>
              </a:graphicData>
            </a:graphic>
          </wp:inline>
        </w:drawing>
      </w:r>
    </w:p>
    <w:p>
      <w:r>
        <w:drawing>
          <wp:inline xmlns:a="http://schemas.openxmlformats.org/drawingml/2006/main" xmlns:pic="http://schemas.openxmlformats.org/drawingml/2006/picture">
            <wp:extent cx="5486400" cy="2185219"/>
            <wp:docPr id="26" name="Picture 26"/>
            <wp:cNvGraphicFramePr>
              <a:graphicFrameLocks noChangeAspect="1"/>
            </wp:cNvGraphicFramePr>
            <a:graphic>
              <a:graphicData uri="http://schemas.openxmlformats.org/drawingml/2006/picture">
                <pic:pic>
                  <pic:nvPicPr>
                    <pic:cNvPr id="0" name="iter8_client_tier_lifecycle_mix.png"/>
                    <pic:cNvPicPr/>
                  </pic:nvPicPr>
                  <pic:blipFill>
                    <a:blip r:embed="rId34"/>
                    <a:stretch>
                      <a:fillRect/>
                    </a:stretch>
                  </pic:blipFill>
                  <pic:spPr>
                    <a:xfrm>
                      <a:off x="0" y="0"/>
                      <a:ext cx="5486400" cy="2185219"/>
                    </a:xfrm>
                    <a:prstGeom prst="rect"/>
                  </pic:spPr>
                </pic:pic>
              </a:graphicData>
            </a:graphic>
          </wp:inline>
        </w:drawing>
      </w:r>
    </w:p>
    <w:p>
      <w:pPr>
        <w:pStyle w:val="Heading3"/>
      </w:pPr>
      <w:r>
        <w:rPr>
          <w:rFonts w:ascii="Arial" w:hAnsi="Arial"/>
          <w:color w:val="26890D"/>
        </w:rPr>
        <w:t>5.3 New vs. Returning Client NE Dependency and Forward Risk Quantification</w:t>
      </w:r>
    </w:p>
    <w:p>
      <w:r/>
      <w:r>
        <w:rPr>
          <w:b/>
        </w:rPr>
        <w:t>Basis of Preparation.</w:t>
      </w:r>
      <w:r>
        <w:t xml:space="preserve"> LTM23 wholesale revenue was split between Returning (794 clients, active in PLTM22) and New (896 clients, first purchase in LTM23) cohorts. Within each cohort, revenue was allocated to lifecycle categories using the model-level classifications established in Section 3.1. NE model revenue within the Returning client cohort was further segmented by durability class (Durable, Mid-tier, Transient) using the classifications from Section 3.3. The Transient-NE-at-risk figure represents Returning client revenue sourced from NE models with &lt;40% retention at +3 months post-peak, which are expected to continue declining sharply in subsequent periods.</w:t>
      </w:r>
    </w:p>
    <w:p>
      <w:r>
        <w:t>The forward risk embedded in the current wholesale revenue base is concentrated in a specific and quantifiable segment: Transient NE models within the Returning client cohort.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Client Cohort</w:t>
            </w:r>
          </w:p>
        </w:tc>
        <w:tc>
          <w:tcPr>
            <w:tcW w:type="dxa" w:w="1560"/>
            <w:shd w:val="clear" w:color="auto" w:fill="046A38"/>
          </w:tcPr>
          <w:p>
            <w:r>
              <w:rPr>
                <w:b/>
                <w:color w:val="FFFFFF"/>
              </w:rPr>
            </w:r>
            <w:r>
              <w:rPr>
                <w:rFonts w:ascii="Arial" w:hAnsi="Arial"/>
                <w:b/>
                <w:color w:val="FFFFFF"/>
                <w:sz w:val="20"/>
              </w:rPr>
              <w:t>LTM23 Revenue</w:t>
            </w:r>
          </w:p>
        </w:tc>
        <w:tc>
          <w:tcPr>
            <w:tcW w:type="dxa" w:w="1560"/>
            <w:shd w:val="clear" w:color="auto" w:fill="046A38"/>
          </w:tcPr>
          <w:p>
            <w:r>
              <w:rPr>
                <w:b/>
                <w:color w:val="FFFFFF"/>
              </w:rPr>
            </w:r>
            <w:r>
              <w:rPr>
                <w:rFonts w:ascii="Arial" w:hAnsi="Arial"/>
                <w:b/>
                <w:color w:val="FFFFFF"/>
                <w:sz w:val="20"/>
              </w:rPr>
              <w:t>NE Revenue</w:t>
            </w:r>
          </w:p>
        </w:tc>
        <w:tc>
          <w:tcPr>
            <w:tcW w:type="dxa" w:w="1560"/>
            <w:shd w:val="clear" w:color="auto" w:fill="046A38"/>
          </w:tcPr>
          <w:p>
            <w:r>
              <w:rPr>
                <w:b/>
                <w:color w:val="FFFFFF"/>
              </w:rPr>
            </w:r>
            <w:r>
              <w:rPr>
                <w:rFonts w:ascii="Arial" w:hAnsi="Arial"/>
                <w:b/>
                <w:color w:val="FFFFFF"/>
                <w:sz w:val="20"/>
              </w:rPr>
              <w:t>NE Share</w:t>
            </w:r>
          </w:p>
        </w:tc>
        <w:tc>
          <w:tcPr>
            <w:tcW w:type="dxa" w:w="1560"/>
            <w:shd w:val="clear" w:color="auto" w:fill="046A38"/>
          </w:tcPr>
          <w:p>
            <w:r>
              <w:rPr>
                <w:b/>
                <w:color w:val="FFFFFF"/>
              </w:rPr>
            </w:r>
            <w:r>
              <w:rPr>
                <w:rFonts w:ascii="Arial" w:hAnsi="Arial"/>
                <w:b/>
                <w:color w:val="FFFFFF"/>
                <w:sz w:val="20"/>
              </w:rPr>
              <w:t>Transient NE</w:t>
            </w:r>
          </w:p>
        </w:tc>
        <w:tc>
          <w:tcPr>
            <w:tcW w:type="dxa" w:w="1560"/>
            <w:shd w:val="clear" w:color="auto" w:fill="046A38"/>
          </w:tcPr>
          <w:p>
            <w:r>
              <w:rPr>
                <w:b/>
                <w:color w:val="FFFFFF"/>
              </w:rPr>
            </w:r>
            <w:r>
              <w:rPr>
                <w:rFonts w:ascii="Arial" w:hAnsi="Arial"/>
                <w:b/>
                <w:color w:val="FFFFFF"/>
                <w:sz w:val="20"/>
              </w:rPr>
              <w:t>Transient NE Share of Total</w:t>
            </w:r>
          </w:p>
        </w:tc>
      </w:tr>
      <w:tr>
        <w:tc>
          <w:tcPr>
            <w:tcW w:type="dxa" w:w="1560"/>
          </w:tcPr>
          <w:p>
            <w:r/>
            <w:r>
              <w:rPr>
                <w:rFonts w:ascii="Arial" w:hAnsi="Arial"/>
                <w:sz w:val="20"/>
              </w:rPr>
              <w:t>Returning (794 clients)</w:t>
            </w:r>
          </w:p>
        </w:tc>
        <w:tc>
          <w:tcPr>
            <w:tcW w:type="dxa" w:w="1560"/>
          </w:tcPr>
          <w:p>
            <w:r/>
            <w:r>
              <w:rPr>
                <w:rFonts w:ascii="Arial" w:hAnsi="Arial"/>
                <w:sz w:val="20"/>
              </w:rPr>
              <w:t>€16.73m</w:t>
            </w:r>
          </w:p>
        </w:tc>
        <w:tc>
          <w:tcPr>
            <w:tcW w:type="dxa" w:w="1560"/>
          </w:tcPr>
          <w:p>
            <w:r/>
            <w:r>
              <w:rPr>
                <w:rFonts w:ascii="Arial" w:hAnsi="Arial"/>
                <w:sz w:val="20"/>
              </w:rPr>
              <w:t>€9.84m</w:t>
            </w:r>
          </w:p>
        </w:tc>
        <w:tc>
          <w:tcPr>
            <w:tcW w:type="dxa" w:w="1560"/>
          </w:tcPr>
          <w:p>
            <w:r/>
            <w:r>
              <w:rPr>
                <w:rFonts w:ascii="Arial" w:hAnsi="Arial"/>
                <w:sz w:val="20"/>
              </w:rPr>
              <w:t>58.8%</w:t>
            </w:r>
          </w:p>
        </w:tc>
        <w:tc>
          <w:tcPr>
            <w:tcW w:type="dxa" w:w="1560"/>
          </w:tcPr>
          <w:p>
            <w:r/>
            <w:r>
              <w:rPr>
                <w:rFonts w:ascii="Arial" w:hAnsi="Arial"/>
                <w:sz w:val="20"/>
              </w:rPr>
              <w:t>€7.83m</w:t>
            </w:r>
          </w:p>
        </w:tc>
        <w:tc>
          <w:tcPr>
            <w:tcW w:type="dxa" w:w="1560"/>
          </w:tcPr>
          <w:p>
            <w:r/>
            <w:r>
              <w:rPr>
                <w:rFonts w:ascii="Arial" w:hAnsi="Arial"/>
                <w:sz w:val="20"/>
              </w:rPr>
              <w:t>46.8% of total returning</w:t>
            </w:r>
          </w:p>
        </w:tc>
      </w:tr>
      <w:tr>
        <w:tc>
          <w:tcPr>
            <w:tcW w:type="dxa" w:w="1560"/>
          </w:tcPr>
          <w:p>
            <w:r/>
            <w:r>
              <w:rPr>
                <w:rFonts w:ascii="Arial" w:hAnsi="Arial"/>
                <w:sz w:val="20"/>
              </w:rPr>
              <w:t>New (896 clients)</w:t>
            </w:r>
          </w:p>
        </w:tc>
        <w:tc>
          <w:tcPr>
            <w:tcW w:type="dxa" w:w="1560"/>
          </w:tcPr>
          <w:p>
            <w:r/>
            <w:r>
              <w:rPr>
                <w:rFonts w:ascii="Arial" w:hAnsi="Arial"/>
                <w:sz w:val="20"/>
              </w:rPr>
              <w:t>€4.69m</w:t>
            </w:r>
          </w:p>
        </w:tc>
        <w:tc>
          <w:tcPr>
            <w:tcW w:type="dxa" w:w="1560"/>
          </w:tcPr>
          <w:p>
            <w:r/>
            <w:r>
              <w:rPr>
                <w:rFonts w:ascii="Arial" w:hAnsi="Arial"/>
                <w:sz w:val="20"/>
              </w:rPr>
              <w:t>€2.48m</w:t>
            </w:r>
          </w:p>
        </w:tc>
        <w:tc>
          <w:tcPr>
            <w:tcW w:type="dxa" w:w="1560"/>
          </w:tcPr>
          <w:p>
            <w:r/>
            <w:r>
              <w:rPr>
                <w:rFonts w:ascii="Arial" w:hAnsi="Arial"/>
                <w:sz w:val="20"/>
              </w:rPr>
              <w:t>52.8%</w:t>
            </w:r>
          </w:p>
        </w:tc>
        <w:tc>
          <w:tcPr>
            <w:tcW w:type="dxa" w:w="1560"/>
          </w:tcPr>
          <w:p>
            <w:r/>
            <w:r>
              <w:rPr>
                <w:rFonts w:ascii="Arial" w:hAnsi="Arial"/>
                <w:sz w:val="20"/>
              </w:rPr>
              <w:t>—</w:t>
            </w:r>
          </w:p>
        </w:tc>
        <w:tc>
          <w:tcPr>
            <w:tcW w:type="dxa" w:w="1560"/>
          </w:tcPr>
          <w:p>
            <w:r/>
            <w:r>
              <w:rPr>
                <w:rFonts w:ascii="Arial" w:hAnsi="Arial"/>
                <w:sz w:val="20"/>
              </w:rPr>
              <w:t>—</w:t>
            </w:r>
          </w:p>
        </w:tc>
      </w:tr>
      <w:tr>
        <w:tc>
          <w:tcPr>
            <w:tcW w:type="dxa" w:w="1560"/>
          </w:tcPr>
          <w:p>
            <w:r/>
            <w:r>
              <w:rPr>
                <w:rFonts w:ascii="Arial" w:hAnsi="Arial"/>
                <w:sz w:val="20"/>
              </w:rPr>
            </w:r>
            <w:r>
              <w:rPr>
                <w:rFonts w:ascii="Arial" w:hAnsi="Arial"/>
                <w:b/>
                <w:sz w:val="20"/>
              </w:rPr>
              <w:t>Total WS</w:t>
            </w:r>
            <w:r>
              <w:rPr>
                <w:rFonts w:ascii="Arial" w:hAnsi="Arial"/>
                <w:sz w:val="20"/>
              </w:rPr>
            </w:r>
          </w:p>
        </w:tc>
        <w:tc>
          <w:tcPr>
            <w:tcW w:type="dxa" w:w="1560"/>
          </w:tcPr>
          <w:p>
            <w:r/>
            <w:r>
              <w:rPr>
                <w:rFonts w:ascii="Arial" w:hAnsi="Arial"/>
                <w:sz w:val="20"/>
              </w:rPr>
            </w:r>
            <w:r>
              <w:rPr>
                <w:rFonts w:ascii="Arial" w:hAnsi="Arial"/>
                <w:b/>
                <w:sz w:val="20"/>
              </w:rPr>
              <w:t>€21.43m</w:t>
            </w:r>
            <w:r>
              <w:rPr>
                <w:rFonts w:ascii="Arial" w:hAnsi="Arial"/>
                <w:sz w:val="20"/>
              </w:rPr>
            </w:r>
          </w:p>
        </w:tc>
        <w:tc>
          <w:tcPr>
            <w:tcW w:type="dxa" w:w="1560"/>
          </w:tcPr>
          <w:p>
            <w:r/>
            <w:r>
              <w:rPr>
                <w:rFonts w:ascii="Arial" w:hAnsi="Arial"/>
                <w:sz w:val="20"/>
              </w:rPr>
            </w:r>
            <w:r>
              <w:rPr>
                <w:rFonts w:ascii="Arial" w:hAnsi="Arial"/>
                <w:b/>
                <w:sz w:val="20"/>
              </w:rPr>
              <w:t>€12.32m</w:t>
            </w:r>
            <w:r>
              <w:rPr>
                <w:rFonts w:ascii="Arial" w:hAnsi="Arial"/>
                <w:sz w:val="20"/>
              </w:rPr>
            </w:r>
          </w:p>
        </w:tc>
        <w:tc>
          <w:tcPr>
            <w:tcW w:type="dxa" w:w="1560"/>
          </w:tcPr>
          <w:p>
            <w:r/>
            <w:r>
              <w:rPr>
                <w:rFonts w:ascii="Arial" w:hAnsi="Arial"/>
                <w:sz w:val="20"/>
              </w:rPr>
            </w:r>
            <w:r>
              <w:rPr>
                <w:rFonts w:ascii="Arial" w:hAnsi="Arial"/>
                <w:b/>
                <w:sz w:val="20"/>
              </w:rPr>
              <w:t>57.5%</w:t>
            </w:r>
            <w:r>
              <w:rPr>
                <w:rFonts w:ascii="Arial" w:hAnsi="Arial"/>
                <w:sz w:val="20"/>
              </w:rPr>
            </w:r>
          </w:p>
        </w:tc>
        <w:tc>
          <w:tcPr>
            <w:tcW w:type="dxa" w:w="1560"/>
          </w:tcPr>
          <w:p>
            <w:r/>
            <w:r>
              <w:rPr>
                <w:rFonts w:ascii="Arial" w:hAnsi="Arial"/>
                <w:sz w:val="20"/>
              </w:rPr>
            </w:r>
          </w:p>
        </w:tc>
        <w:tc>
          <w:tcPr>
            <w:tcW w:type="dxa" w:w="1560"/>
          </w:tcPr>
          <w:p>
            <w:r/>
            <w:r>
              <w:rPr>
                <w:rFonts w:ascii="Arial" w:hAnsi="Arial"/>
                <w:sz w:val="20"/>
              </w:rPr>
            </w:r>
          </w:p>
        </w:tc>
      </w:tr>
    </w:tbl>
    <w:p/>
    <w:p>
      <w:r>
        <w:t>Of the €9.84m in NE revenue held by returning clients, 80.1% (€7.83m) is concentrated in Transient NE models — models that have already demonstrated sub-40% revenue retention at three months post-peak and whose continued decline is statistically expected based on the cohort-level decay curves documented in Section 3.2. Only 6 Durable NE models underpin €1.14m (11.6%) of returning-client NE revenue, providing a narrow but genuine stable foundation.</w:t>
      </w:r>
    </w:p>
    <w:p>
      <w:r>
        <w:t>The structural implication is that approximately 46.8% of total returning-client wholesale revenue is in active decay. The timing and magnitude of this erosion depend on where each Transient model sits in its post-peak trajectory — some may still be generating near-peak revenue, others may already be in advanced decline — but the directional signal is unambiguous: without replacement by new NE model launches or by accelerated Stable model adoption, the returning-client revenue base will face a meaningful step-down over the next two to four quarters.</w:t>
      </w:r>
    </w:p>
    <w:p>
      <w:r>
        <w:drawing>
          <wp:inline xmlns:a="http://schemas.openxmlformats.org/drawingml/2006/main" xmlns:pic="http://schemas.openxmlformats.org/drawingml/2006/picture">
            <wp:extent cx="5486400" cy="1817894"/>
            <wp:docPr id="27" name="Picture 27"/>
            <wp:cNvGraphicFramePr>
              <a:graphicFrameLocks noChangeAspect="1"/>
            </wp:cNvGraphicFramePr>
            <a:graphic>
              <a:graphicData uri="http://schemas.openxmlformats.org/drawingml/2006/picture">
                <pic:pic>
                  <pic:nvPicPr>
                    <pic:cNvPr id="0" name="iter10_client_ne_segment_performance.png"/>
                    <pic:cNvPicPr/>
                  </pic:nvPicPr>
                  <pic:blipFill>
                    <a:blip r:embed="rId35"/>
                    <a:stretch>
                      <a:fillRect/>
                    </a:stretch>
                  </pic:blipFill>
                  <pic:spPr>
                    <a:xfrm>
                      <a:off x="0" y="0"/>
                      <a:ext cx="5486400" cy="1817894"/>
                    </a:xfrm>
                    <a:prstGeom prst="rect"/>
                  </pic:spPr>
                </pic:pic>
              </a:graphicData>
            </a:graphic>
          </wp:inline>
        </w:drawing>
      </w:r>
    </w:p>
    <w:p>
      <w:r>
        <w:drawing>
          <wp:inline xmlns:a="http://schemas.openxmlformats.org/drawingml/2006/main" xmlns:pic="http://schemas.openxmlformats.org/drawingml/2006/picture">
            <wp:extent cx="5486400" cy="2413199"/>
            <wp:docPr id="28" name="Picture 28"/>
            <wp:cNvGraphicFramePr>
              <a:graphicFrameLocks noChangeAspect="1"/>
            </wp:cNvGraphicFramePr>
            <a:graphic>
              <a:graphicData uri="http://schemas.openxmlformats.org/drawingml/2006/picture">
                <pic:pic>
                  <pic:nvPicPr>
                    <pic:cNvPr id="0" name="iter10_ne_model_detail.png"/>
                    <pic:cNvPicPr/>
                  </pic:nvPicPr>
                  <pic:blipFill>
                    <a:blip r:embed="rId36"/>
                    <a:stretch>
                      <a:fillRect/>
                    </a:stretch>
                  </pic:blipFill>
                  <pic:spPr>
                    <a:xfrm>
                      <a:off x="0" y="0"/>
                      <a:ext cx="5486400" cy="2413199"/>
                    </a:xfrm>
                    <a:prstGeom prst="rect"/>
                  </pic:spPr>
                </pic:pic>
              </a:graphicData>
            </a:graphic>
          </wp:inline>
        </w:drawing>
      </w:r>
    </w:p>
    <w:p/>
    <w:p>
      <w:pPr>
        <w:pStyle w:val="Heading2"/>
      </w:pPr>
      <w:r>
        <w:rPr>
          <w:rFonts w:ascii="Arial" w:hAnsi="Arial"/>
          <w:color w:val="26890D"/>
        </w:rPr>
        <w:t>Section 6: NE Model Concentration and the "Trickle NE" Growth Engine</w:t>
      </w:r>
    </w:p>
    <w:p>
      <w:pPr>
        <w:pStyle w:val="Heading3"/>
      </w:pPr>
      <w:r>
        <w:rPr>
          <w:rFonts w:ascii="Arial" w:hAnsi="Arial"/>
          <w:color w:val="26890D"/>
        </w:rPr>
        <w:t>6.1 Breakout vs. Trickle NE Model Structure</w:t>
      </w:r>
    </w:p>
    <w:p>
      <w:r/>
      <w:r>
        <w:rPr>
          <w:b/>
        </w:rPr>
        <w:t>Basis of Preparation.</w:t>
      </w:r>
      <w:r>
        <w:t xml:space="preserve"> NE model revenue within the wholesale channel was ranked to identify "Breakout" models — defined as individual NE models generating ≥€500k in wholesale LTM23 revenue. All NE models below this threshold were classified as "Trickle NE." The €500k threshold was selected based on the natural break in the NE revenue distribution, with only two models exceeding this level. Post-peak retention was computed separately for Breakout and Trickle models using the methodology from Section 3.2. Wholesale client segments were then cross-referenced against their Breakout vs. Trickle NE exposure to assess concentration risk.</w:t>
      </w:r>
    </w:p>
    <w:p>
      <w:r>
        <w:t>The wholesale NE revenue base of €12.65m is structurally fragmented across 115 models. The revenue distribution is not concentrated in a small number of dominant models but is instead spread across a large portfolio of individually modest contributors — a pattern described herein as the "Trickle NE" model.</w:t>
      </w:r>
    </w:p>
    <w:p>
      <w:r>
        <w:t>Only two NE models qualify as Breakout (≥€500k wholesale LTM23): SEOUL at €684k (5.4% of wholesale NE revenue) and MILWAUKEE at €522k (4.1%). Together these two models account for 9.5% of NE wholesale revenue. The remaining 90.5% is sourced from 113 Trickle NE models, none of which individually exceeds ~€400k.</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046A38"/>
          </w:tcPr>
          <w:p>
            <w:r>
              <w:rPr>
                <w:b/>
                <w:color w:val="FFFFFF"/>
              </w:rPr>
            </w:r>
            <w:r>
              <w:rPr>
                <w:rFonts w:ascii="Arial" w:hAnsi="Arial"/>
                <w:b/>
                <w:color w:val="FFFFFF"/>
                <w:sz w:val="20"/>
              </w:rPr>
              <w:t>NE Tier</w:t>
            </w:r>
          </w:p>
        </w:tc>
        <w:tc>
          <w:tcPr>
            <w:tcW w:type="dxa" w:w="1560"/>
            <w:shd w:val="clear" w:color="auto" w:fill="046A38"/>
          </w:tcPr>
          <w:p>
            <w:r>
              <w:rPr>
                <w:b/>
                <w:color w:val="FFFFFF"/>
              </w:rPr>
            </w:r>
            <w:r>
              <w:rPr>
                <w:rFonts w:ascii="Arial" w:hAnsi="Arial"/>
                <w:b/>
                <w:color w:val="FFFFFF"/>
                <w:sz w:val="20"/>
              </w:rPr>
              <w:t>Model Count</w:t>
            </w:r>
          </w:p>
        </w:tc>
        <w:tc>
          <w:tcPr>
            <w:tcW w:type="dxa" w:w="1560"/>
            <w:shd w:val="clear" w:color="auto" w:fill="046A38"/>
          </w:tcPr>
          <w:p>
            <w:r>
              <w:rPr>
                <w:b/>
                <w:color w:val="FFFFFF"/>
              </w:rPr>
            </w:r>
            <w:r>
              <w:rPr>
                <w:rFonts w:ascii="Arial" w:hAnsi="Arial"/>
                <w:b/>
                <w:color w:val="FFFFFF"/>
                <w:sz w:val="20"/>
              </w:rPr>
              <w:t>WS LTM23 Revenue</w:t>
            </w:r>
          </w:p>
        </w:tc>
        <w:tc>
          <w:tcPr>
            <w:tcW w:type="dxa" w:w="1560"/>
            <w:shd w:val="clear" w:color="auto" w:fill="046A38"/>
          </w:tcPr>
          <w:p>
            <w:r>
              <w:rPr>
                <w:b/>
                <w:color w:val="FFFFFF"/>
              </w:rPr>
            </w:r>
            <w:r>
              <w:rPr>
                <w:rFonts w:ascii="Arial" w:hAnsi="Arial"/>
                <w:b/>
                <w:color w:val="FFFFFF"/>
                <w:sz w:val="20"/>
              </w:rPr>
              <w:t>Revenue Share</w:t>
            </w:r>
          </w:p>
        </w:tc>
        <w:tc>
          <w:tcPr>
            <w:tcW w:type="dxa" w:w="1560"/>
            <w:shd w:val="clear" w:color="auto" w:fill="046A38"/>
          </w:tcPr>
          <w:p>
            <w:r>
              <w:rPr>
                <w:b/>
                <w:color w:val="FFFFFF"/>
              </w:rPr>
            </w:r>
            <w:r>
              <w:rPr>
                <w:rFonts w:ascii="Arial" w:hAnsi="Arial"/>
                <w:b/>
                <w:color w:val="FFFFFF"/>
                <w:sz w:val="20"/>
              </w:rPr>
              <w:t>Post-Peak Retention (+3m)</w:t>
            </w:r>
          </w:p>
        </w:tc>
        <w:tc>
          <w:tcPr>
            <w:tcW w:type="dxa" w:w="1560"/>
            <w:shd w:val="clear" w:color="auto" w:fill="046A38"/>
          </w:tcPr>
          <w:p>
            <w:r>
              <w:rPr>
                <w:b/>
                <w:color w:val="FFFFFF"/>
              </w:rPr>
            </w:r>
            <w:r>
              <w:rPr>
                <w:rFonts w:ascii="Arial" w:hAnsi="Arial"/>
                <w:b/>
                <w:color w:val="FFFFFF"/>
                <w:sz w:val="20"/>
              </w:rPr>
              <w:t>Retention (+6m)</w:t>
            </w:r>
          </w:p>
        </w:tc>
      </w:tr>
      <w:tr>
        <w:tc>
          <w:tcPr>
            <w:tcW w:type="dxa" w:w="1560"/>
          </w:tcPr>
          <w:p>
            <w:r/>
            <w:r>
              <w:rPr>
                <w:rFonts w:ascii="Arial" w:hAnsi="Arial"/>
                <w:sz w:val="20"/>
              </w:rPr>
              <w:t>Breakout (≥€500k)</w:t>
            </w:r>
          </w:p>
        </w:tc>
        <w:tc>
          <w:tcPr>
            <w:tcW w:type="dxa" w:w="1560"/>
          </w:tcPr>
          <w:p>
            <w:r/>
            <w:r>
              <w:rPr>
                <w:rFonts w:ascii="Arial" w:hAnsi="Arial"/>
                <w:sz w:val="20"/>
              </w:rPr>
              <w:t>2</w:t>
            </w:r>
          </w:p>
        </w:tc>
        <w:tc>
          <w:tcPr>
            <w:tcW w:type="dxa" w:w="1560"/>
          </w:tcPr>
          <w:p>
            <w:r/>
            <w:r>
              <w:rPr>
                <w:rFonts w:ascii="Arial" w:hAnsi="Arial"/>
                <w:sz w:val="20"/>
              </w:rPr>
              <w:t>€1.21m</w:t>
            </w:r>
          </w:p>
        </w:tc>
        <w:tc>
          <w:tcPr>
            <w:tcW w:type="dxa" w:w="1560"/>
          </w:tcPr>
          <w:p>
            <w:r/>
            <w:r>
              <w:rPr>
                <w:rFonts w:ascii="Arial" w:hAnsi="Arial"/>
                <w:sz w:val="20"/>
              </w:rPr>
              <w:t>9.5%</w:t>
            </w:r>
          </w:p>
        </w:tc>
        <w:tc>
          <w:tcPr>
            <w:tcW w:type="dxa" w:w="1560"/>
          </w:tcPr>
          <w:p>
            <w:r/>
            <w:r>
              <w:rPr>
                <w:rFonts w:ascii="Arial" w:hAnsi="Arial"/>
                <w:sz w:val="20"/>
              </w:rPr>
              <w:t>67.5%</w:t>
            </w:r>
          </w:p>
        </w:tc>
        <w:tc>
          <w:tcPr>
            <w:tcW w:type="dxa" w:w="1560"/>
          </w:tcPr>
          <w:p>
            <w:r/>
            <w:r>
              <w:rPr>
                <w:rFonts w:ascii="Arial" w:hAnsi="Arial"/>
                <w:sz w:val="20"/>
              </w:rPr>
              <w:t>9.5%</w:t>
            </w:r>
          </w:p>
        </w:tc>
      </w:tr>
      <w:tr>
        <w:tc>
          <w:tcPr>
            <w:tcW w:type="dxa" w:w="1560"/>
          </w:tcPr>
          <w:p>
            <w:r/>
            <w:r>
              <w:rPr>
                <w:rFonts w:ascii="Arial" w:hAnsi="Arial"/>
                <w:sz w:val="20"/>
              </w:rPr>
              <w:t>Trickle NE (&lt;€500k)</w:t>
            </w:r>
          </w:p>
        </w:tc>
        <w:tc>
          <w:tcPr>
            <w:tcW w:type="dxa" w:w="1560"/>
          </w:tcPr>
          <w:p>
            <w:r/>
            <w:r>
              <w:rPr>
                <w:rFonts w:ascii="Arial" w:hAnsi="Arial"/>
                <w:sz w:val="20"/>
              </w:rPr>
              <w:t>113</w:t>
            </w:r>
          </w:p>
        </w:tc>
        <w:tc>
          <w:tcPr>
            <w:tcW w:type="dxa" w:w="1560"/>
          </w:tcPr>
          <w:p>
            <w:r/>
            <w:r>
              <w:rPr>
                <w:rFonts w:ascii="Arial" w:hAnsi="Arial"/>
                <w:sz w:val="20"/>
              </w:rPr>
              <w:t>€11.44m</w:t>
            </w:r>
          </w:p>
        </w:tc>
        <w:tc>
          <w:tcPr>
            <w:tcW w:type="dxa" w:w="1560"/>
          </w:tcPr>
          <w:p>
            <w:r/>
            <w:r>
              <w:rPr>
                <w:rFonts w:ascii="Arial" w:hAnsi="Arial"/>
                <w:sz w:val="20"/>
              </w:rPr>
              <w:t>90.5%</w:t>
            </w:r>
          </w:p>
        </w:tc>
        <w:tc>
          <w:tcPr>
            <w:tcW w:type="dxa" w:w="1560"/>
          </w:tcPr>
          <w:p>
            <w:r/>
            <w:r>
              <w:rPr>
                <w:rFonts w:ascii="Arial" w:hAnsi="Arial"/>
                <w:sz w:val="20"/>
              </w:rPr>
              <w:t>19.6%</w:t>
            </w:r>
          </w:p>
        </w:tc>
        <w:tc>
          <w:tcPr>
            <w:tcW w:type="dxa" w:w="1560"/>
          </w:tcPr>
          <w:p>
            <w:r/>
            <w:r>
              <w:rPr>
                <w:rFonts w:ascii="Arial" w:hAnsi="Arial"/>
                <w:sz w:val="20"/>
              </w:rPr>
              <w:t>6.7%</w:t>
            </w:r>
          </w:p>
        </w:tc>
      </w:tr>
    </w:tbl>
    <w:p/>
    <w:p>
      <w:r>
        <w:drawing>
          <wp:inline xmlns:a="http://schemas.openxmlformats.org/drawingml/2006/main" xmlns:pic="http://schemas.openxmlformats.org/drawingml/2006/picture">
            <wp:extent cx="5486400" cy="2381586"/>
            <wp:docPr id="29" name="Picture 29"/>
            <wp:cNvGraphicFramePr>
              <a:graphicFrameLocks noChangeAspect="1"/>
            </wp:cNvGraphicFramePr>
            <a:graphic>
              <a:graphicData uri="http://schemas.openxmlformats.org/drawingml/2006/picture">
                <pic:pic>
                  <pic:nvPicPr>
                    <pic:cNvPr id="0" name="iter10_breakout_ne_concentration.png"/>
                    <pic:cNvPicPr/>
                  </pic:nvPicPr>
                  <pic:blipFill>
                    <a:blip r:embed="rId37"/>
                    <a:stretch>
                      <a:fillRect/>
                    </a:stretch>
                  </pic:blipFill>
                  <pic:spPr>
                    <a:xfrm>
                      <a:off x="0" y="0"/>
                      <a:ext cx="5486400" cy="2381586"/>
                    </a:xfrm>
                    <a:prstGeom prst="rect"/>
                  </pic:spPr>
                </pic:pic>
              </a:graphicData>
            </a:graphic>
          </wp:inline>
        </w:drawing>
      </w:r>
    </w:p>
    <w:p>
      <w:r>
        <w:t>The post-peak retention profiles of Breakout versus Trickle models reveal a critical distinction. Breakout models exhibit strong early retention — 67.5% at +3 months post-peak — but collapse sharply thereafter, reaching 9.5% at +6 months and effectively zero by +9 months. This suggests that SEOUL and MILWAUKEE, despite their apparent early durability, are not yet confirmed as Durable in the sense defined in Section 3.3. Both entered the dataset within the LTM23 window with zero prior-period history, meaning their long-term trajectories have not yet been tested. Trickle NE models show weaker short-term retention (19.6% at +3 months) but distribute risk across a large number of individually small positions, reducing the consequence of any single model's decay.</w:t>
      </w:r>
    </w:p>
    <w:p>
      <w:r>
        <w:t>The finding that 90.5% of wholesale NE growth is generated by a portfolio of 113 individually modest Trickle NE models — rather than by a concentrated set of franchise models — is a fundamental structural insight. The business is not growing through the success of a few blockbuster SKUs; it is growing through the aggregate small contributions of a continuously refreshed broad portfolio. This has important strategic implications: it means that NE model launch frequency and pipeline depth are more critical to revenue sustainability than the success of any individual product. It also means that the deceleration in NE model introductions observed in LTM23 (Section 3.4) represents a systemic, not idiosyncratic, risk to the revenue trajectory.</w:t>
      </w:r>
    </w:p>
    <w:p>
      <w:pPr>
        <w:pStyle w:val="Heading3"/>
      </w:pPr>
      <w:r>
        <w:rPr>
          <w:rFonts w:ascii="Arial" w:hAnsi="Arial"/>
          <w:color w:val="26890D"/>
        </w:rPr>
        <w:t>6.2 The High-NE / Low-Breakout Segment: The Actual WS Growth Engine</w:t>
      </w:r>
    </w:p>
    <w:p>
      <w:r/>
      <w:r>
        <w:rPr>
          <w:b/>
        </w:rPr>
        <w:t>Basis of Preparation.</w:t>
      </w:r>
      <w:r>
        <w:t xml:space="preserve"> Returning wholesale clients were segmented by their Breakout NE versus Trickle NE revenue composition. Given that only 2 Breakout models exist and 99.7% of returning WS revenue falls in the High-NE / Low-Breakout group (Group G4), cross-group comparison was not analytically informative. The G4 segment analysis focused on internal revenue-weighted YoY growth and proportion of clients in positive growth territory.</w:t>
      </w:r>
    </w:p>
    <w:p>
      <w:r>
        <w:t>The 718 returning wholesale clients (97% of the returning base) classified as High-NE / Low-Breakout collectively generated €16.64m in LTM23 wholesale revenue, with a revenue-weighted YoY growth of +38.1% and 56.3% of accounts in positive growth territory. This is the actual engine of wholesale channel expansion: not mega-model adoption, but the aggregate commercial dynamism of a large client base regularly refreshing its assortment with new Trickle NE models from a continuously replenished portfolio.</w:t>
      </w:r>
    </w:p>
    <w:p>
      <w:r>
        <w:t>The fragility of this engine is equally clear: it requires a sustained launch pipeline to function. The Trickle NE model presupposes that as each individual NE model fades to its terminal revenue tail, another new model is available to fill the gap. With only 3 Entry-tier NE models introduced in LTM23 versus 32 in FY2022, there is a material risk that the pipeline will not provide sufficient replacement volume to sustain the aggregate Trickle NE revenue at its current level.</w:t>
      </w:r>
    </w:p>
    <w:p/>
    <w:p>
      <w:pPr>
        <w:pStyle w:val="Heading2"/>
      </w:pPr>
      <w:r>
        <w:rPr>
          <w:rFonts w:ascii="Arial" w:hAnsi="Arial"/>
          <w:color w:val="26890D"/>
        </w:rPr>
        <w:t>Section 7: Seasonality and Revenue Timing</w:t>
      </w:r>
    </w:p>
    <w:p>
      <w:pPr>
        <w:pStyle w:val="Heading3"/>
      </w:pPr>
      <w:r>
        <w:rPr>
          <w:rFonts w:ascii="Arial" w:hAnsi="Arial"/>
          <w:color w:val="26890D"/>
        </w:rPr>
        <w:t>7.1 Channel Mix and Monthly Revenue Patterns</w:t>
      </w:r>
    </w:p>
    <w:p>
      <w:r/>
      <w:r>
        <w:rPr>
          <w:b/>
        </w:rPr>
        <w:t>Basis of Preparation.</w:t>
      </w:r>
      <w:r>
        <w:t xml:space="preserve"> Monthly revenue was computed by aggregating Venta Netas for each calendar month from January 2021 through April 2023 by channel. Seasonal patterns were identified visually and by computing month-on-month and year-on-year changes at the monthly level. Given the limited time series (2.3 years), seasonal conclusions are indicative rather than statistically definitive.</w:t>
      </w:r>
    </w:p>
    <w:p>
      <w:r>
        <w:t>The monthly revenue data reveals differentiated timing patterns across channels. Wholesale revenue exhibits a pronounced ordering seasonality consistent with typical footwear distribution calendars: forward-order intake peaks in H1 of each year (Q1–Q2 sell-in for spring/summer collections) and in H2 (Q3–Q4 sell-in for autumn/winter collections), with the Q1 peak typically the largest given the volume of the spring assortment cycle. This sell-in cadence is the structural mechanism underlying the spike-and-decay pattern observed in Entry NE model cohorts (Section 3.4): distributors place wholesale orders at season open, driving a sharp revenue peak, and repeat orders are limited absent strong consumer sell-through.</w:t>
      </w:r>
    </w:p>
    <w:p>
      <w:r>
        <w:t>The own-retail channel shows less pronounced seasonality, with revenue growing relatively steadily as new stores open throughout the period. The Online D2C channel exhibits transaction seasonality consistent with consumer purchasing behaviour, with some concentration in key commercial periods, though the limited time-series length prevents definitive seasonal decomposition.</w:t>
      </w:r>
    </w:p>
    <w:p>
      <w:r>
        <w:drawing>
          <wp:inline xmlns:a="http://schemas.openxmlformats.org/drawingml/2006/main" xmlns:pic="http://schemas.openxmlformats.org/drawingml/2006/picture">
            <wp:extent cx="5486400" cy="2264717"/>
            <wp:docPr id="30" name="Picture 30"/>
            <wp:cNvGraphicFramePr>
              <a:graphicFrameLocks noChangeAspect="1"/>
            </wp:cNvGraphicFramePr>
            <a:graphic>
              <a:graphicData uri="http://schemas.openxmlformats.org/drawingml/2006/picture">
                <pic:pic>
                  <pic:nvPicPr>
                    <pic:cNvPr id="0" name="iter2_channel_mix_monthly.png"/>
                    <pic:cNvPicPr/>
                  </pic:nvPicPr>
                  <pic:blipFill>
                    <a:blip r:embed="rId15"/>
                    <a:stretch>
                      <a:fillRect/>
                    </a:stretch>
                  </pic:blipFill>
                  <pic:spPr>
                    <a:xfrm>
                      <a:off x="0" y="0"/>
                      <a:ext cx="5486400" cy="2264717"/>
                    </a:xfrm>
                    <a:prstGeom prst="rect"/>
                  </pic:spPr>
                </pic:pic>
              </a:graphicData>
            </a:graphic>
          </wp:inline>
        </w:drawing>
      </w:r>
    </w:p>
    <w:p/>
    <w:p>
      <w:pPr>
        <w:pStyle w:val="Heading2"/>
      </w:pPr>
      <w:r>
        <w:rPr>
          <w:rFonts w:ascii="Arial" w:hAnsi="Arial"/>
          <w:color w:val="26890D"/>
        </w:rPr>
        <w:t>Section 8: Portfolio Breadth and Top-Model Concentration</w:t>
      </w:r>
    </w:p>
    <w:p>
      <w:pPr>
        <w:pStyle w:val="Heading3"/>
      </w:pPr>
      <w:r>
        <w:rPr>
          <w:rFonts w:ascii="Arial" w:hAnsi="Arial"/>
          <w:color w:val="26890D"/>
        </w:rPr>
        <w:t>8.1 Top-20 Model Revenue Trajectories</w:t>
      </w:r>
    </w:p>
    <w:p>
      <w:r/>
      <w:r>
        <w:rPr>
          <w:b/>
        </w:rPr>
        <w:t>Basis of Preparation.</w:t>
      </w:r>
      <w:r>
        <w:t xml:space="preserve"> The top 20 models by LTM23 total revenue were identified and their monthly revenue trajectory was plotted from first appearance through April 2023. Model-level lifecycle classifications were applied from Section 3.1. The HHI was not computed at model level given the confirmed absence of single-model concentration risk.</w:t>
      </w:r>
    </w:p>
    <w:p>
      <w:r>
        <w:t>The portfolio comprises 398 distinct models, of which the top 20 by LTM23 revenue account for approximately 39% of LTM23 total revenue. No single model exceeds 3.8% of total company revenue, confirming that product-level concentration is not a catastrophic risk at the portfolio level. The top 15 models account for 28.9% of cumulative all-period revenue.</w:t>
      </w:r>
    </w:p>
    <w:p>
      <w:r>
        <w:t>The top-20 model trajectories reveal the lifecycle patterns described in Section 3 in their clearest form: models classified as Stable show gradual build and sustained revenue contributions extending across multiple periods; NE models show a sharp rise to a revenue peak followed by decay; and former high-revenue models (now Bust) show declines from significant prior peaks toward negligible current contribution.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046A38"/>
          </w:tcPr>
          <w:p>
            <w:r>
              <w:rPr>
                <w:b/>
                <w:color w:val="FFFFFF"/>
              </w:rPr>
            </w:r>
            <w:r>
              <w:rPr>
                <w:rFonts w:ascii="Arial" w:hAnsi="Arial"/>
                <w:b/>
                <w:color w:val="FFFFFF"/>
                <w:sz w:val="20"/>
              </w:rPr>
              <w:t>Rank</w:t>
            </w:r>
          </w:p>
        </w:tc>
        <w:tc>
          <w:tcPr>
            <w:tcW w:type="dxa" w:w="1872"/>
            <w:shd w:val="clear" w:color="auto" w:fill="046A38"/>
          </w:tcPr>
          <w:p>
            <w:r>
              <w:rPr>
                <w:b/>
                <w:color w:val="FFFFFF"/>
              </w:rPr>
            </w:r>
            <w:r>
              <w:rPr>
                <w:rFonts w:ascii="Arial" w:hAnsi="Arial"/>
                <w:b/>
                <w:color w:val="FFFFFF"/>
                <w:sz w:val="20"/>
              </w:rPr>
              <w:t>Top Model</w:t>
            </w:r>
          </w:p>
        </w:tc>
        <w:tc>
          <w:tcPr>
            <w:tcW w:type="dxa" w:w="1872"/>
            <w:shd w:val="clear" w:color="auto" w:fill="046A38"/>
          </w:tcPr>
          <w:p>
            <w:r>
              <w:rPr>
                <w:b/>
                <w:color w:val="FFFFFF"/>
              </w:rPr>
            </w:r>
            <w:r>
              <w:rPr>
                <w:rFonts w:ascii="Arial" w:hAnsi="Arial"/>
                <w:b/>
                <w:color w:val="FFFFFF"/>
                <w:sz w:val="20"/>
              </w:rPr>
              <w:t>LTM23 Revenue</w:t>
            </w:r>
          </w:p>
        </w:tc>
        <w:tc>
          <w:tcPr>
            <w:tcW w:type="dxa" w:w="1872"/>
            <w:shd w:val="clear" w:color="auto" w:fill="046A38"/>
          </w:tcPr>
          <w:p>
            <w:r>
              <w:rPr>
                <w:b/>
                <w:color w:val="FFFFFF"/>
              </w:rPr>
            </w:r>
            <w:r>
              <w:rPr>
                <w:rFonts w:ascii="Arial" w:hAnsi="Arial"/>
                <w:b/>
                <w:color w:val="FFFFFF"/>
                <w:sz w:val="20"/>
              </w:rPr>
              <w:t>Share of Total</w:t>
            </w:r>
          </w:p>
        </w:tc>
        <w:tc>
          <w:tcPr>
            <w:tcW w:type="dxa" w:w="1872"/>
            <w:shd w:val="clear" w:color="auto" w:fill="046A38"/>
          </w:tcPr>
          <w:p>
            <w:r>
              <w:rPr>
                <w:b/>
                <w:color w:val="FFFFFF"/>
              </w:rPr>
            </w:r>
            <w:r>
              <w:rPr>
                <w:rFonts w:ascii="Arial" w:hAnsi="Arial"/>
                <w:b/>
                <w:color w:val="FFFFFF"/>
                <w:sz w:val="20"/>
              </w:rPr>
              <w:t>Lifecycle Class</w:t>
            </w:r>
          </w:p>
        </w:tc>
      </w:tr>
      <w:tr>
        <w:tc>
          <w:tcPr>
            <w:tcW w:type="dxa" w:w="1872"/>
          </w:tcPr>
          <w:p>
            <w:r/>
            <w:r>
              <w:rPr>
                <w:rFonts w:ascii="Arial" w:hAnsi="Arial"/>
                <w:sz w:val="20"/>
              </w:rPr>
              <w:t>1</w:t>
            </w:r>
          </w:p>
        </w:tc>
        <w:tc>
          <w:tcPr>
            <w:tcW w:type="dxa" w:w="1872"/>
          </w:tcPr>
          <w:p>
            <w:r/>
            <w:r>
              <w:rPr>
                <w:rFonts w:ascii="Arial" w:hAnsi="Arial"/>
                <w:sz w:val="20"/>
              </w:rPr>
              <w:t>SEOUL</w:t>
            </w:r>
          </w:p>
        </w:tc>
        <w:tc>
          <w:tcPr>
            <w:tcW w:type="dxa" w:w="1872"/>
          </w:tcPr>
          <w:p>
            <w:r/>
            <w:r>
              <w:rPr>
                <w:rFonts w:ascii="Arial" w:hAnsi="Arial"/>
                <w:sz w:val="20"/>
              </w:rPr>
              <w:t>€926k (all channel)</w:t>
            </w:r>
          </w:p>
        </w:tc>
        <w:tc>
          <w:tcPr>
            <w:tcW w:type="dxa" w:w="1872"/>
          </w:tcPr>
          <w:p>
            <w:r/>
            <w:r>
              <w:rPr>
                <w:rFonts w:ascii="Arial" w:hAnsi="Arial"/>
                <w:sz w:val="20"/>
              </w:rPr>
              <w:t>3.8% (est.)</w:t>
            </w:r>
          </w:p>
        </w:tc>
        <w:tc>
          <w:tcPr>
            <w:tcW w:type="dxa" w:w="1872"/>
          </w:tcPr>
          <w:p>
            <w:r/>
            <w:r>
              <w:rPr>
                <w:rFonts w:ascii="Arial" w:hAnsi="Arial"/>
                <w:sz w:val="20"/>
              </w:rPr>
              <w:t>NE – Durable</w:t>
            </w:r>
          </w:p>
        </w:tc>
      </w:tr>
      <w:tr>
        <w:tc>
          <w:tcPr>
            <w:tcW w:type="dxa" w:w="1872"/>
          </w:tcPr>
          <w:p>
            <w:r/>
            <w:r>
              <w:rPr>
                <w:rFonts w:ascii="Arial" w:hAnsi="Arial"/>
                <w:sz w:val="20"/>
              </w:rPr>
              <w:t>2</w:t>
            </w:r>
          </w:p>
        </w:tc>
        <w:tc>
          <w:tcPr>
            <w:tcW w:type="dxa" w:w="1872"/>
          </w:tcPr>
          <w:p>
            <w:r/>
            <w:r>
              <w:rPr>
                <w:rFonts w:ascii="Arial" w:hAnsi="Arial"/>
                <w:sz w:val="20"/>
              </w:rPr>
              <w:t>MILWAUKEE</w:t>
            </w:r>
          </w:p>
        </w:tc>
        <w:tc>
          <w:tcPr>
            <w:tcW w:type="dxa" w:w="1872"/>
          </w:tcPr>
          <w:p>
            <w:r/>
            <w:r>
              <w:rPr>
                <w:rFonts w:ascii="Arial" w:hAnsi="Arial"/>
                <w:sz w:val="20"/>
              </w:rPr>
              <w:t>€729k</w:t>
            </w:r>
          </w:p>
        </w:tc>
        <w:tc>
          <w:tcPr>
            <w:tcW w:type="dxa" w:w="1872"/>
          </w:tcPr>
          <w:p>
            <w:r/>
            <w:r>
              <w:rPr>
                <w:rFonts w:ascii="Arial" w:hAnsi="Arial"/>
                <w:sz w:val="20"/>
              </w:rPr>
              <w:t>~3.0%</w:t>
            </w:r>
          </w:p>
        </w:tc>
        <w:tc>
          <w:tcPr>
            <w:tcW w:type="dxa" w:w="1872"/>
          </w:tcPr>
          <w:p>
            <w:r/>
            <w:r>
              <w:rPr>
                <w:rFonts w:ascii="Arial" w:hAnsi="Arial"/>
                <w:sz w:val="20"/>
              </w:rPr>
              <w:t>NE – Durable</w:t>
            </w:r>
          </w:p>
        </w:tc>
      </w:tr>
      <w:tr>
        <w:tc>
          <w:tcPr>
            <w:tcW w:type="dxa" w:w="1872"/>
          </w:tcPr>
          <w:p>
            <w:r/>
            <w:r>
              <w:rPr>
                <w:rFonts w:ascii="Arial" w:hAnsi="Arial"/>
                <w:sz w:val="20"/>
              </w:rPr>
              <w:t>3</w:t>
            </w:r>
          </w:p>
        </w:tc>
        <w:tc>
          <w:tcPr>
            <w:tcW w:type="dxa" w:w="1872"/>
          </w:tcPr>
          <w:p>
            <w:r/>
            <w:r>
              <w:rPr>
                <w:rFonts w:ascii="Arial" w:hAnsi="Arial"/>
                <w:sz w:val="20"/>
              </w:rPr>
              <w:t>ATLANTIC CITY</w:t>
            </w:r>
          </w:p>
        </w:tc>
        <w:tc>
          <w:tcPr>
            <w:tcW w:type="dxa" w:w="1872"/>
          </w:tcPr>
          <w:p>
            <w:r/>
            <w:r>
              <w:rPr>
                <w:rFonts w:ascii="Arial" w:hAnsi="Arial"/>
                <w:sz w:val="20"/>
              </w:rPr>
              <w:t>€445k</w:t>
            </w:r>
          </w:p>
        </w:tc>
        <w:tc>
          <w:tcPr>
            <w:tcW w:type="dxa" w:w="1872"/>
          </w:tcPr>
          <w:p>
            <w:r/>
            <w:r>
              <w:rPr>
                <w:rFonts w:ascii="Arial" w:hAnsi="Arial"/>
                <w:sz w:val="20"/>
              </w:rPr>
              <w:t>~1.8%</w:t>
            </w:r>
          </w:p>
        </w:tc>
        <w:tc>
          <w:tcPr>
            <w:tcW w:type="dxa" w:w="1872"/>
          </w:tcPr>
          <w:p>
            <w:r/>
            <w:r>
              <w:rPr>
                <w:rFonts w:ascii="Arial" w:hAnsi="Arial"/>
                <w:sz w:val="20"/>
              </w:rPr>
              <w:t>NE – Durable</w:t>
            </w:r>
          </w:p>
        </w:tc>
      </w:tr>
      <w:tr>
        <w:tc>
          <w:tcPr>
            <w:tcW w:type="dxa" w:w="1872"/>
          </w:tcPr>
          <w:p>
            <w:r/>
            <w:r>
              <w:rPr>
                <w:rFonts w:ascii="Arial" w:hAnsi="Arial"/>
                <w:sz w:val="20"/>
              </w:rPr>
              <w:t>—</w:t>
            </w:r>
          </w:p>
        </w:tc>
        <w:tc>
          <w:tcPr>
            <w:tcW w:type="dxa" w:w="1872"/>
          </w:tcPr>
          <w:p>
            <w:r/>
            <w:r>
              <w:rPr>
                <w:rFonts w:ascii="Arial" w:hAnsi="Arial"/>
                <w:sz w:val="20"/>
              </w:rPr>
              <w:t>[Stable franchise models]</w:t>
            </w:r>
          </w:p>
        </w:tc>
        <w:tc>
          <w:tcPr>
            <w:tcW w:type="dxa" w:w="1872"/>
          </w:tcPr>
          <w:p>
            <w:r/>
            <w:r>
              <w:rPr>
                <w:rFonts w:ascii="Arial" w:hAnsi="Arial"/>
                <w:sz w:val="20"/>
              </w:rPr>
              <w:t>—</w:t>
            </w:r>
          </w:p>
        </w:tc>
        <w:tc>
          <w:tcPr>
            <w:tcW w:type="dxa" w:w="1872"/>
          </w:tcPr>
          <w:p>
            <w:r/>
            <w:r>
              <w:rPr>
                <w:rFonts w:ascii="Arial" w:hAnsi="Arial"/>
                <w:sz w:val="20"/>
              </w:rPr>
              <w:t>—</w:t>
            </w:r>
          </w:p>
        </w:tc>
        <w:tc>
          <w:tcPr>
            <w:tcW w:type="dxa" w:w="1872"/>
          </w:tcPr>
          <w:p>
            <w:r/>
            <w:r>
              <w:rPr>
                <w:rFonts w:ascii="Arial" w:hAnsi="Arial"/>
                <w:sz w:val="20"/>
              </w:rPr>
              <w:t>Stable</w:t>
            </w:r>
          </w:p>
        </w:tc>
      </w:tr>
      <w:tr>
        <w:tc>
          <w:tcPr>
            <w:tcW w:type="dxa" w:w="1872"/>
          </w:tcPr>
          <w:p>
            <w:r/>
            <w:r>
              <w:rPr>
                <w:rFonts w:ascii="Arial" w:hAnsi="Arial"/>
                <w:sz w:val="20"/>
              </w:rPr>
              <w:t>—</w:t>
            </w:r>
          </w:p>
        </w:tc>
        <w:tc>
          <w:tcPr>
            <w:tcW w:type="dxa" w:w="1872"/>
          </w:tcPr>
          <w:p>
            <w:r/>
            <w:r>
              <w:rPr>
                <w:rFonts w:ascii="Arial" w:hAnsi="Arial"/>
                <w:sz w:val="20"/>
              </w:rPr>
              <w:t>EDINBURGH</w:t>
            </w:r>
          </w:p>
        </w:tc>
        <w:tc>
          <w:tcPr>
            <w:tcW w:type="dxa" w:w="1872"/>
          </w:tcPr>
          <w:p>
            <w:r/>
            <w:r>
              <w:rPr>
                <w:rFonts w:ascii="Arial" w:hAnsi="Arial"/>
                <w:sz w:val="20"/>
              </w:rPr>
              <w:t>€516k</w:t>
            </w:r>
          </w:p>
        </w:tc>
        <w:tc>
          <w:tcPr>
            <w:tcW w:type="dxa" w:w="1872"/>
          </w:tcPr>
          <w:p>
            <w:r/>
            <w:r>
              <w:rPr>
                <w:rFonts w:ascii="Arial" w:hAnsi="Arial"/>
                <w:sz w:val="20"/>
              </w:rPr>
              <w:t>~2.1%</w:t>
            </w:r>
          </w:p>
        </w:tc>
        <w:tc>
          <w:tcPr>
            <w:tcW w:type="dxa" w:w="1872"/>
          </w:tcPr>
          <w:p>
            <w:r/>
            <w:r>
              <w:rPr>
                <w:rFonts w:ascii="Arial" w:hAnsi="Arial"/>
                <w:sz w:val="20"/>
              </w:rPr>
              <w:t>NE – Transient</w:t>
            </w:r>
          </w:p>
        </w:tc>
      </w:tr>
      <w:tr>
        <w:tc>
          <w:tcPr>
            <w:tcW w:type="dxa" w:w="1872"/>
          </w:tcPr>
          <w:p>
            <w:r/>
            <w:r>
              <w:rPr>
                <w:rFonts w:ascii="Arial" w:hAnsi="Arial"/>
                <w:sz w:val="20"/>
              </w:rPr>
              <w:t>—</w:t>
            </w:r>
          </w:p>
        </w:tc>
        <w:tc>
          <w:tcPr>
            <w:tcW w:type="dxa" w:w="1872"/>
          </w:tcPr>
          <w:p>
            <w:r/>
            <w:r>
              <w:rPr>
                <w:rFonts w:ascii="Arial" w:hAnsi="Arial"/>
                <w:sz w:val="20"/>
              </w:rPr>
              <w:t>GREENLAND</w:t>
            </w:r>
          </w:p>
        </w:tc>
        <w:tc>
          <w:tcPr>
            <w:tcW w:type="dxa" w:w="1872"/>
          </w:tcPr>
          <w:p>
            <w:r/>
            <w:r>
              <w:rPr>
                <w:rFonts w:ascii="Arial" w:hAnsi="Arial"/>
                <w:sz w:val="20"/>
              </w:rPr>
              <w:t>€247k</w:t>
            </w:r>
          </w:p>
        </w:tc>
        <w:tc>
          <w:tcPr>
            <w:tcW w:type="dxa" w:w="1872"/>
          </w:tcPr>
          <w:p>
            <w:r/>
            <w:r>
              <w:rPr>
                <w:rFonts w:ascii="Arial" w:hAnsi="Arial"/>
                <w:sz w:val="20"/>
              </w:rPr>
              <w:t>~1.0%</w:t>
            </w:r>
          </w:p>
        </w:tc>
        <w:tc>
          <w:tcPr>
            <w:tcW w:type="dxa" w:w="1872"/>
          </w:tcPr>
          <w:p>
            <w:r/>
            <w:r>
              <w:rPr>
                <w:rFonts w:ascii="Arial" w:hAnsi="Arial"/>
                <w:sz w:val="20"/>
              </w:rPr>
              <w:t>NE – Transient</w:t>
            </w:r>
          </w:p>
        </w:tc>
      </w:tr>
    </w:tbl>
    <w:p/>
    <w:p>
      <w:r>
        <w:drawing>
          <wp:inline xmlns:a="http://schemas.openxmlformats.org/drawingml/2006/main" xmlns:pic="http://schemas.openxmlformats.org/drawingml/2006/picture">
            <wp:extent cx="5486400" cy="3630977"/>
            <wp:docPr id="31" name="Picture 31"/>
            <wp:cNvGraphicFramePr>
              <a:graphicFrameLocks noChangeAspect="1"/>
            </wp:cNvGraphicFramePr>
            <a:graphic>
              <a:graphicData uri="http://schemas.openxmlformats.org/drawingml/2006/picture">
                <pic:pic>
                  <pic:nvPicPr>
                    <pic:cNvPr id="0" name="iter1_top20_models_trajectory.png"/>
                    <pic:cNvPicPr/>
                  </pic:nvPicPr>
                  <pic:blipFill>
                    <a:blip r:embed="rId38"/>
                    <a:stretch>
                      <a:fillRect/>
                    </a:stretch>
                  </pic:blipFill>
                  <pic:spPr>
                    <a:xfrm>
                      <a:off x="0" y="0"/>
                      <a:ext cx="5486400" cy="3630977"/>
                    </a:xfrm>
                    <a:prstGeom prst="rect"/>
                  </pic:spPr>
                </pic:pic>
              </a:graphicData>
            </a:graphic>
          </wp:inline>
        </w:drawing>
      </w:r>
    </w:p>
    <w:p/>
    <w:p>
      <w:pPr>
        <w:pStyle w:val="Heading2"/>
      </w:pPr>
      <w:r>
        <w:rPr>
          <w:rFonts w:ascii="Arial" w:hAnsi="Arial"/>
          <w:color w:val="26890D"/>
        </w:rPr>
        <w:t>Glossary</w:t>
      </w:r>
    </w:p>
    <w:p>
      <w:r/>
      <w:r>
        <w:rPr>
          <w:b/>
        </w:rPr>
        <w:t>ASP (Average Selling Price):</w:t>
      </w:r>
      <w:r>
        <w:t xml:space="preserve"> Total net revenue divided by total net units sold in a given period. Used to measure price level and price/mix effects on revenue growth.</w:t>
      </w:r>
    </w:p>
    <w:p>
      <w:r/>
      <w:r>
        <w:rPr>
          <w:b/>
        </w:rPr>
        <w:t>AOV (Average Order Value):</w:t>
      </w:r>
      <w:r>
        <w:t xml:space="preserve"> Total channel revenue divided by the number of distinct transactions in that channel and period. In the Wholesale channel, this reflects the average basket size per distributor order.</w:t>
      </w:r>
    </w:p>
    <w:p>
      <w:r/>
      <w:r>
        <w:rPr>
          <w:b/>
        </w:rPr>
        <w:t>CAGR (Compound Annual Growth Rate):</w:t>
      </w:r>
      <w:r>
        <w:t xml:space="preserve"> The annualised rate of growth between two endpoints, calculated as (end value / start value)^(1/years) – 1.</w:t>
      </w:r>
    </w:p>
    <w:p>
      <w:r/>
      <w:r>
        <w:rPr>
          <w:b/>
        </w:rPr>
        <w:t>Canal:</w:t>
      </w:r>
      <w:r>
        <w:t xml:space="preserve"> The Spanish-language field name in the source dataset for sales channel. Values: Online, Retail, Wholesales.</w:t>
      </w:r>
    </w:p>
    <w:p>
      <w:r/>
      <w:r>
        <w:rPr>
          <w:b/>
        </w:rPr>
        <w:t>D2C (Direct-to-Consumer):</w:t>
      </w:r>
      <w:r>
        <w:t xml:space="preserve"> A sales model in which the brand sells directly to end consumers, without intermediary distributors. In this report, the Online channel is classified as D2C.</w:t>
      </w:r>
    </w:p>
    <w:p>
      <w:r/>
      <w:r>
        <w:rPr>
          <w:b/>
        </w:rPr>
        <w:t>Fecha_Mes:</w:t>
      </w:r>
      <w:r>
        <w:t xml:space="preserve"> The Spanish-language field for transaction month (first day of month format) in the source dataset.</w:t>
      </w:r>
    </w:p>
    <w:p>
      <w:r/>
      <w:r>
        <w:rPr>
          <w:b/>
        </w:rPr>
        <w:t>FY (Fiscal Year):</w:t>
      </w:r>
      <w:r>
        <w:t xml:space="preserve"> In this report, FY refers to calendar years: FY2021 = January–December 2021; FY2022 = January–December 2022.</w:t>
      </w:r>
    </w:p>
    <w:p>
      <w:r/>
      <w:r>
        <w:rPr>
          <w:b/>
        </w:rPr>
        <w:t>HHI (Herfindahl-Hirschman Index):</w:t>
      </w:r>
      <w:r>
        <w:t xml:space="preserve"> A measure of market concentration computed as the sum of squared revenue share fractions across all clients. Ranges from 0 (perfectly equal distribution) to 1 (monopoly). Values below 0.01 are considered highly fragmented; values above 0.25 indicate high concentration.</w:t>
      </w:r>
    </w:p>
    <w:p>
      <w:r/>
      <w:r>
        <w:rPr>
          <w:b/>
        </w:rPr>
        <w:t>LfL (Like-for-Like growth):</w:t>
      </w:r>
      <w:r>
        <w:t xml:space="preserve"> Revenue growth computed only over the population of clients (or stores) present in both the current and prior period, thereby excluding the contribution of new additions. Also referred to as organic growth.</w:t>
      </w:r>
    </w:p>
    <w:p>
      <w:r/>
      <w:r>
        <w:rPr>
          <w:b/>
        </w:rPr>
        <w:t>LTM (Last Twelve Months):</w:t>
      </w:r>
      <w:r>
        <w:t xml:space="preserve"> A trailing twelve-month revenue window. LTM23 in this report covers May 2022–April 2023 (the twelve months prior to the last available data point of April 2023).</w:t>
      </w:r>
    </w:p>
    <w:p>
      <w:r/>
      <w:r>
        <w:rPr>
          <w:b/>
        </w:rPr>
        <w:t>NE (New Entrant):</w:t>
      </w:r>
      <w:r>
        <w:t xml:space="preserve"> A lifecycle classification applied to models that had no revenue in FY2021 (the earliest full-year period) but generated positive revenue in LTM23. NE models are the primary growth driver of the business in the current period.</w:t>
      </w:r>
    </w:p>
    <w:p>
      <w:r/>
      <w:r>
        <w:rPr>
          <w:b/>
        </w:rPr>
        <w:t>NE – Durable:</w:t>
      </w:r>
      <w:r>
        <w:t xml:space="preserve"> A sub-classification of NE models that retain ≥40% of peak revenue at three months post-peak. These models demonstrate Stable-model-like longevity and represent 18.6% of NE models by count.</w:t>
      </w:r>
    </w:p>
    <w:p>
      <w:r/>
      <w:r>
        <w:rPr>
          <w:b/>
        </w:rPr>
        <w:t>NE – Mid-tier:</w:t>
      </w:r>
      <w:r>
        <w:t xml:space="preserve"> NE models retaining 20–40% of peak revenue at three months post-peak. Represent 33.0% of NE models.</w:t>
      </w:r>
    </w:p>
    <w:p>
      <w:r/>
      <w:r>
        <w:rPr>
          <w:b/>
        </w:rPr>
        <w:t>NE – Transient:</w:t>
      </w:r>
      <w:r>
        <w:t xml:space="preserve"> NE models retaining &lt;20% of peak revenue at three months post-peak. Represent 48.5% of NE models and are the primary source of forward revenue risk.</w:t>
      </w:r>
    </w:p>
    <w:p>
      <w:r/>
      <w:r>
        <w:rPr>
          <w:b/>
        </w:rPr>
        <w:t>Nombre Modelo:</w:t>
      </w:r>
      <w:r>
        <w:t xml:space="preserve"> The Spanish-language field for product model name in the source dataset. Models are named using a city-based convention (e.g., SEOUL, MILWAUKEE, EDINBURGH).</w:t>
      </w:r>
    </w:p>
    <w:p>
      <w:r/>
      <w:r>
        <w:rPr>
          <w:b/>
        </w:rPr>
        <w:t>PLTM22 (Prior Last Twelve Months, 2022):</w:t>
      </w:r>
      <w:r>
        <w:t xml:space="preserve"> The twelve-month period immediately preceding LTM23: May 2021–April 2022. Used as the comparison base for LTM YoY analysis.</w:t>
      </w:r>
    </w:p>
    <w:p>
      <w:r/>
      <w:r>
        <w:rPr>
          <w:b/>
        </w:rPr>
        <w:t>PxQ Decomposition:</w:t>
      </w:r>
      <w:r>
        <w:t xml:space="preserve"> A methodology for separating revenue growth into a pure volume component (change in units × prior-period ASP) and a pure price/mix component (change in ASP × current-period volume).</w:t>
      </w:r>
    </w:p>
    <w:p>
      <w:r/>
      <w:r>
        <w:rPr>
          <w:b/>
        </w:rPr>
        <w:t>Retail channel:</w:t>
      </w:r>
      <w:r>
        <w:t xml:space="preserve"> In this report, the Retail channel represents the company's own directly operated physical store network (own retail / company-owned stores). Each client entry in the Retail channel is a distinct company-owned store location.</w:t>
      </w:r>
    </w:p>
    <w:p>
      <w:r/>
      <w:r>
        <w:rPr>
          <w:b/>
        </w:rPr>
        <w:t>Stable model:</w:t>
      </w:r>
      <w:r>
        <w:t xml:space="preserve"> A lifecycle classification applied to models that generated revenue in both FY2021 and LTM23, with less than 30% revenue decline from FY2021 levels. Stable models exhibit compounding revenue curves with peak reaching approximately month 25 of active life.</w:t>
      </w:r>
    </w:p>
    <w:p>
      <w:r/>
      <w:r>
        <w:rPr>
          <w:b/>
        </w:rPr>
        <w:t>Bust model:</w:t>
      </w:r>
      <w:r>
        <w:t xml:space="preserve"> A lifecycle classification applied to models that were significant revenue contributors in FY2021 or PLTM22 but have experienced &gt;50% revenue decline from peak and are in terminal decline. The Bust cohort represented 54.7% of PLTM22 wholesale revenue but only 0.9% in LTM23.</w:t>
      </w:r>
    </w:p>
    <w:p>
      <w:r/>
      <w:r>
        <w:rPr>
          <w:b/>
        </w:rPr>
        <w:t>Trickle NE:</w:t>
      </w:r>
      <w:r>
        <w:t xml:space="preserve"> An analytical category for NE models generating &lt;€500k of wholesale revenue in LTM23. Trickle NE models collectively account for 90.5% of NE wholesale revenue across 113 models.</w:t>
      </w:r>
    </w:p>
    <w:p>
      <w:r/>
      <w:r>
        <w:rPr>
          <w:b/>
        </w:rPr>
        <w:t>Breakout NE:</w:t>
      </w:r>
      <w:r>
        <w:t xml:space="preserve"> An analytical category for NE models generating ≥€500k of wholesale revenue in LTM23. Only two models qualify: SEOUL (€684k) and MILWAUKEE (€522k).</w:t>
      </w:r>
    </w:p>
    <w:p>
      <w:r/>
      <w:r>
        <w:rPr>
          <w:b/>
        </w:rPr>
        <w:t>Tienda_Cliente:</w:t>
      </w:r>
      <w:r>
        <w:t xml:space="preserve"> The Spanish-language field for store/client name in the source dataset.</w:t>
      </w:r>
    </w:p>
    <w:p>
      <w:r/>
      <w:r>
        <w:rPr>
          <w:b/>
        </w:rPr>
        <w:t>Venta Netas:</w:t>
      </w:r>
      <w:r>
        <w:t xml:space="preserve"> The Spanish-language field for net revenue (in euros) per transaction record in the source dataset.</w:t>
      </w:r>
    </w:p>
    <w:p>
      <w:r/>
      <w:r>
        <w:rPr>
          <w:b/>
        </w:rPr>
        <w:t>Cant_Neta:</w:t>
      </w:r>
      <w:r>
        <w:t xml:space="preserve"> The Spanish-language field for net units sold per transaction record in the source dataset.</w:t>
      </w:r>
    </w:p>
    <w:p>
      <w:r/>
      <w:r>
        <w:rPr>
          <w:b/>
        </w:rPr>
        <w:t>WS (Wholesale):</w:t>
      </w:r>
      <w:r>
        <w:t xml:space="preserve"> Abbreviation for the Wholesales channel — B2B sales to third-party distributors and retailers. The dominant revenue channel, representing 59–65% of total company revenue.</w:t>
      </w:r>
    </w:p>
    <w:p>
      <w:r/>
      <w:r>
        <w:rPr>
          <w:b/>
        </w:rPr>
        <w:t>YoY (Year-on-Year):</w:t>
      </w:r>
      <w:r>
        <w:t xml:space="preserve"> The percentage change in a metric comparing the current period to the equivalent prior period (e.g., LTM23 vs. PLTM22, or FY2022 vs. FY2021).</w:t>
      </w:r>
    </w:p>
    <w:p>
      <w:r/>
      <w:r>
        <w:rPr>
          <w:b/>
        </w:rPr>
        <w:t>G4 (High-NE / Low-Breakout group):</w:t>
      </w:r>
      <w:r>
        <w:t xml:space="preserve"> The client segment identifier from the wholesale client segmentation analysis in Section 6, comprising 718 returning clients (97% of the returning base) characterised by high NE model dependency but negligible exposure to Breakout NE models. Confirmed as the primary growth engine of the wholesale channel.</w:t>
      </w:r>
    </w:p>
    <w:p>
      <w:r/>
      <w:r>
        <w:rPr>
          <w:b/>
        </w:rPr>
        <w:t>Entry tier:</w:t>
      </w:r>
      <w:r>
        <w:t xml:space="preserve"> The lowest ASP product tier, defined as models with average selling prices below €48. Represents the largest revenue pool (€14.3m LTM23) and is the most wholesale-dependent and NE-heavy segment.</w:t>
      </w:r>
    </w:p>
    <w:p>
      <w:r/>
      <w:r>
        <w:rPr>
          <w:b/>
        </w:rPr>
        <w:t>Lower-Mid tier:</w:t>
      </w:r>
      <w:r>
        <w:t xml:space="preserve"> ASP tier covering models with average selling prices between €48 and €55.</w:t>
      </w:r>
    </w:p>
    <w:p>
      <w:r/>
      <w:r>
        <w:rPr>
          <w:b/>
        </w:rPr>
        <w:t>Upper-Mid tier:</w:t>
      </w:r>
      <w:r>
        <w:t xml:space="preserve"> ASP tier covering models with average selling prices between €55 and €65.</w:t>
      </w:r>
    </w:p>
    <w:p>
      <w:r/>
      <w:r>
        <w:rPr>
          <w:b/>
        </w:rPr>
        <w:t>Premium tier:</w:t>
      </w:r>
      <w:r>
        <w:t xml:space="preserve"> The highest ASP tier, defined as models with average selling prices above €65. Approximately €5m in LTM23 revenue, characterised by an 84.2% Stable model rate and a more balanced channel distribution (43.9% Online / 35.9% Retail / 20.2% Wholesale).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