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Arial" w:hAnsi="Arial"/>
          <w:color w:val="26890D"/>
        </w:rPr>
        <w:t>Business Performance &amp; Risk Report</w:t>
      </w:r>
    </w:p>
    <w:p>
      <w:pPr>
        <w:pStyle w:val="Heading3"/>
      </w:pPr>
      <w:r>
        <w:rPr>
          <w:rFonts w:ascii="Arial" w:hAnsi="Arial"/>
          <w:color w:val="26890D"/>
        </w:rPr>
        <w:t>Footwear Distribution Company — January 2021 through April 2023</w:t>
      </w:r>
    </w:p>
    <w:p/>
    <w:p>
      <w:pPr>
        <w:pStyle w:val="Heading2"/>
      </w:pPr>
      <w:r>
        <w:rPr>
          <w:rFonts w:ascii="Arial" w:hAnsi="Arial"/>
          <w:color w:val="26890D"/>
        </w:rPr>
        <w:t>Executive Summary</w:t>
      </w:r>
    </w:p>
    <w:p>
      <w:r>
        <w:t xml:space="preserve">This report synthesises 10 analytical workstreams covering total net revenue of </w:t>
      </w:r>
      <w:r>
        <w:rPr>
          <w:b/>
        </w:rPr>
        <w:t>€62.5m</w:t>
      </w:r>
      <w:r>
        <w:t xml:space="preserve"> recorded between January 2021 and April 2023 across three sales channels, 398 product models, and approximately 2,084 clients. The seven findings below represent the most strategically significant conclusions from the analysis.</w:t>
      </w:r>
    </w:p>
    <w:p>
      <w:r>
        <w:t xml:space="preserve">- </w:t>
      </w:r>
      <w:r>
        <w:rPr>
          <w:b/>
        </w:rPr>
        <w:t>Exceptional top-line growth masking a structural dependency on continuous product refreshment.</w:t>
      </w:r>
      <w:r>
        <w:t xml:space="preserve"> Revenue nearly doubled from €16.7m (FY2021) to €32.8m (FY2022) and reached €36.1m on a last-twelve-months basis, implying a two-year CAGR of approximately +39%. However, this growth is almost entirely volume-driven and depends on the continuous introduction of New Entrant models — which now constitute 50–55% of LTM23 revenue — rather than on pricing power or deepening demand for an established product base. *(see Section 1: Revenue Growth &amp; Channel Dynamics)*</w:t>
      </w:r>
    </w:p>
    <w:p>
      <w:r>
        <w:t xml:space="preserve">- </w:t>
      </w:r>
      <w:r>
        <w:rPr>
          <w:b/>
        </w:rPr>
        <w:t>The New Entrant model pool is structurally transient.</w:t>
      </w:r>
      <w:r>
        <w:t xml:space="preserve"> Ninety-seven percent of New Entrant models are already past their revenue peak, with median time-to-peak at month three. Post-peak retention collapses to 17% by the sixth month after peak, and only 4.4% of models retain more than half their peak revenue six months out. Nearly half of New Entrant models (48.5%) are classified as Transient, generating revenue that is inherently non-recurring. *(see Section 2: Product Lifecycle Dynamics)*</w:t>
      </w:r>
    </w:p>
    <w:p>
      <w:r>
        <w:t xml:space="preserve">- </w:t>
      </w:r>
      <w:r>
        <w:rPr>
          <w:b/>
        </w:rPr>
        <w:t>The business operates a rolling-cohort substitution model, not a catalogue-compounding model.</w:t>
      </w:r>
      <w:r>
        <w:t xml:space="preserve"> The €6.4m revenue headwind created by the collapse of the Bust cohort (from €8.5m to €2.1m) was fully absorbed by new model introductions. This confirms that reported growth conceals a structural treadmill: new launches must perpetually replace decaying prior cohorts. The new-model pipeline is already showing signs of deceleration (three Entry-tier launches in LTM23 versus 32 in FY2022), which warrants close monitoring. *(see Section 2: Product Lifecycle Dynamics)*</w:t>
      </w:r>
    </w:p>
    <w:p>
      <w:r>
        <w:t xml:space="preserve">- </w:t>
      </w:r>
      <w:r>
        <w:rPr>
          <w:b/>
        </w:rPr>
        <w:t>Wholesale channel like-for-like growth has reversed.</w:t>
      </w:r>
      <w:r>
        <w:t xml:space="preserve"> Wholesale accounts for approximately 60% of total revenue. After posting strong organic like-for-like growth of +62.1% in FY2021→FY2022, returning wholesale clients showed a like-for-like decline of –1.6% in LTM23. Headline wholesale growth of +6.5% is entirely attributable to 525 newly acquired accounts, the average revenue per new client of which has declined from €6,883 to €3,810 — suggesting a deterioration in the quality of new account additions. *(see Section 3: Wholesale Client Dynamics &amp; Concentration)*</w:t>
      </w:r>
    </w:p>
    <w:p>
      <w:r>
        <w:t xml:space="preserve">- </w:t>
      </w:r>
      <w:r>
        <w:rPr>
          <w:b/>
        </w:rPr>
        <w:t>Client portfolio quality is strongly correlated with product basket composition.</w:t>
      </w:r>
      <w:r>
        <w:t xml:space="preserve"> Wholesale clients whose baskets contain a higher proportion of Stable models consistently outperform those dependent on New Entrant models. Revenue-weighted YoY growth follows a monotonic gradient: the highest-Stable-share client quartile grew at +63.0% versus –21.2% for the lowest. Clients predominantly holding New Entrant models show the inverse pattern. *(see Section 4: Client Basket Composition &amp; Performance)*</w:t>
      </w:r>
    </w:p>
    <w:p>
      <w:r>
        <w:t xml:space="preserve">- </w:t>
      </w:r>
      <w:r>
        <w:rPr>
          <w:b/>
        </w:rPr>
        <w:t>Entry-tier models present the most acute near-term revenue risk.</w:t>
      </w:r>
      <w:r>
        <w:t xml:space="preserve"> Entry-tier New Entrant models (average selling price below €48) account for €8.8m of LTM23 revenue, are 73.4% Wholesale-dependent, and exhibit a confirmed spike-and-decay cohort pattern. Thirty percent of this revenue (€2.7m) sits in Transient models, with demonstrably low repeat-order rates and no precedent for sustained demand. *(see Section 5: Entry-Tier New Entrant Deep Dive)*</w:t>
      </w:r>
    </w:p>
    <w:p>
      <w:r>
        <w:t xml:space="preserve">- </w:t>
      </w:r>
      <w:r>
        <w:rPr>
          <w:b/>
        </w:rPr>
        <w:t>Durability is not predicted by price.</w:t>
      </w:r>
      <w:r>
        <w:t xml:space="preserve"> Conventional logic would suggest that higher-priced models face lower substitution risk; the data disconfirm this. The lowest ASP quartile (average €23) produces the highest Durable model rate at 36%, while the highest ASP quartile (average €60) yields only 16.7%. No reliable quantitative predictor of New Entrant durability has yet been identified, which limits the company's ability to allocate production and promotional resources pre-launch. *(see Section 2: Product Lifecycle Dynamics)*</w:t>
      </w:r>
    </w:p>
    <w:p/>
    <w:p>
      <w:pPr>
        <w:pStyle w:val="Heading2"/>
      </w:pPr>
      <w:r>
        <w:rPr>
          <w:rFonts w:ascii="Arial" w:hAnsi="Arial"/>
          <w:color w:val="26890D"/>
        </w:rPr>
        <w:t>Section 1: Revenue Growth &amp; Channel Dynamics</w:t>
      </w:r>
    </w:p>
    <w:p>
      <w:pPr>
        <w:pStyle w:val="Heading3"/>
      </w:pPr>
      <w:r>
        <w:rPr>
          <w:rFonts w:ascii="Arial" w:hAnsi="Arial"/>
          <w:color w:val="26890D"/>
        </w:rPr>
        <w:t>1.1 Overall Revenue Trajectory</w:t>
      </w:r>
    </w:p>
    <w:p>
      <w:r/>
      <w:r>
        <w:rPr>
          <w:b/>
        </w:rPr>
        <w:t>Basis of Preparation.</w:t>
      </w:r>
      <w:r>
        <w:t xml:space="preserve"> Revenue totals were derived by aggregating the *Venta Netas* field by calendar year (FY2021: January–December 2021; FY2022: January–December 2022) and by rolling twelve-month windows (LTM22: May 2021–April 2022; LTM23: May 2022–April 2023). The LTM framework was adopted because the observation window ends in April 2023, making FY2023 incomplete. A price-quantity (PxQ) decomposition was applied to isolate the volume effect (change in net units sold multiplied by the prior-period average selling price) and the price/mix effect (change in average selling price multiplied by the current-period volume) for each transition period. CAGR was computed over approximately 2.25 years using the standard compound annual growth rate formula with FY2021 as the base.</w:t>
      </w:r>
    </w:p>
    <w:p>
      <w:r>
        <w:t>The business has delivered exceptional top-line growth across the observation period, expanding from €16.7m in FY2021 to €32.8m in FY2022 — a near-doubling (+96.5%) that is unusually rapid by industry standards. The LTM23 figure of €36.1m represents a +66.1% increase over the prior LTM, and the implied CAGR of approximately +39% over 2.25 years reflects a business in aggressive market-penetration mode.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046A38"/>
          </w:tcPr>
          <w:p>
            <w:r>
              <w:rPr>
                <w:b/>
                <w:color w:val="FFFFFF"/>
              </w:rPr>
            </w:r>
            <w:r>
              <w:rPr>
                <w:rFonts w:ascii="Arial" w:hAnsi="Arial"/>
                <w:b/>
                <w:color w:val="FFFFFF"/>
                <w:sz w:val="20"/>
              </w:rPr>
              <w:t>Period</w:t>
            </w:r>
          </w:p>
        </w:tc>
        <w:tc>
          <w:tcPr>
            <w:tcW w:type="dxa" w:w="1872"/>
            <w:shd w:val="clear" w:color="auto" w:fill="046A38"/>
          </w:tcPr>
          <w:p>
            <w:r>
              <w:rPr>
                <w:b/>
                <w:color w:val="FFFFFF"/>
              </w:rPr>
            </w:r>
            <w:r>
              <w:rPr>
                <w:rFonts w:ascii="Arial" w:hAnsi="Arial"/>
                <w:b/>
                <w:color w:val="FFFFFF"/>
                <w:sz w:val="20"/>
              </w:rPr>
              <w:t>Revenue</w:t>
            </w:r>
          </w:p>
        </w:tc>
        <w:tc>
          <w:tcPr>
            <w:tcW w:type="dxa" w:w="1872"/>
            <w:shd w:val="clear" w:color="auto" w:fill="046A38"/>
          </w:tcPr>
          <w:p>
            <w:r>
              <w:rPr>
                <w:b/>
                <w:color w:val="FFFFFF"/>
              </w:rPr>
            </w:r>
            <w:r>
              <w:rPr>
                <w:rFonts w:ascii="Arial" w:hAnsi="Arial"/>
                <w:b/>
                <w:color w:val="FFFFFF"/>
                <w:sz w:val="20"/>
              </w:rPr>
              <w:t>Net Units</w:t>
            </w:r>
          </w:p>
        </w:tc>
        <w:tc>
          <w:tcPr>
            <w:tcW w:type="dxa" w:w="1872"/>
            <w:shd w:val="clear" w:color="auto" w:fill="046A38"/>
          </w:tcPr>
          <w:p>
            <w:r>
              <w:rPr>
                <w:b/>
                <w:color w:val="FFFFFF"/>
              </w:rPr>
            </w:r>
            <w:r>
              <w:rPr>
                <w:rFonts w:ascii="Arial" w:hAnsi="Arial"/>
                <w:b/>
                <w:color w:val="FFFFFF"/>
                <w:sz w:val="20"/>
              </w:rPr>
              <w:t>ASP</w:t>
            </w:r>
          </w:p>
        </w:tc>
        <w:tc>
          <w:tcPr>
            <w:tcW w:type="dxa" w:w="1872"/>
            <w:shd w:val="clear" w:color="auto" w:fill="046A38"/>
          </w:tcPr>
          <w:p>
            <w:r>
              <w:rPr>
                <w:b/>
                <w:color w:val="FFFFFF"/>
              </w:rPr>
            </w:r>
            <w:r>
              <w:rPr>
                <w:rFonts w:ascii="Arial" w:hAnsi="Arial"/>
                <w:b/>
                <w:color w:val="FFFFFF"/>
                <w:sz w:val="20"/>
              </w:rPr>
              <w:t>YoY Revenue</w:t>
            </w:r>
          </w:p>
        </w:tc>
      </w:tr>
      <w:tr>
        <w:tc>
          <w:tcPr>
            <w:tcW w:type="dxa" w:w="1872"/>
          </w:tcPr>
          <w:p>
            <w:r/>
            <w:r>
              <w:rPr>
                <w:rFonts w:ascii="Arial" w:hAnsi="Arial"/>
                <w:sz w:val="20"/>
              </w:rPr>
              <w:t>FY2021</w:t>
            </w:r>
          </w:p>
        </w:tc>
        <w:tc>
          <w:tcPr>
            <w:tcW w:type="dxa" w:w="1872"/>
          </w:tcPr>
          <w:p>
            <w:r/>
            <w:r>
              <w:rPr>
                <w:rFonts w:ascii="Arial" w:hAnsi="Arial"/>
                <w:sz w:val="20"/>
              </w:rPr>
              <w:t>€16.7m</w:t>
            </w:r>
          </w:p>
        </w:tc>
        <w:tc>
          <w:tcPr>
            <w:tcW w:type="dxa" w:w="1872"/>
          </w:tcPr>
          <w:p>
            <w:r/>
            <w:r>
              <w:rPr>
                <w:rFonts w:ascii="Arial" w:hAnsi="Arial"/>
                <w:sz w:val="20"/>
              </w:rPr>
              <w:t>336k</w:t>
            </w:r>
          </w:p>
        </w:tc>
        <w:tc>
          <w:tcPr>
            <w:tcW w:type="dxa" w:w="1872"/>
          </w:tcPr>
          <w:p>
            <w:r/>
            <w:r>
              <w:rPr>
                <w:rFonts w:ascii="Arial" w:hAnsi="Arial"/>
                <w:sz w:val="20"/>
              </w:rPr>
              <w:t>€49.80</w:t>
            </w:r>
          </w:p>
        </w:tc>
        <w:tc>
          <w:tcPr>
            <w:tcW w:type="dxa" w:w="1872"/>
          </w:tcPr>
          <w:p>
            <w:r/>
            <w:r>
              <w:rPr>
                <w:rFonts w:ascii="Arial" w:hAnsi="Arial"/>
                <w:sz w:val="20"/>
              </w:rPr>
              <w:t>—</w:t>
            </w:r>
          </w:p>
        </w:tc>
      </w:tr>
      <w:tr>
        <w:tc>
          <w:tcPr>
            <w:tcW w:type="dxa" w:w="1872"/>
          </w:tcPr>
          <w:p>
            <w:r/>
            <w:r>
              <w:rPr>
                <w:rFonts w:ascii="Arial" w:hAnsi="Arial"/>
                <w:sz w:val="20"/>
              </w:rPr>
              <w:t>FY2022</w:t>
            </w:r>
          </w:p>
        </w:tc>
        <w:tc>
          <w:tcPr>
            <w:tcW w:type="dxa" w:w="1872"/>
          </w:tcPr>
          <w:p>
            <w:r/>
            <w:r>
              <w:rPr>
                <w:rFonts w:ascii="Arial" w:hAnsi="Arial"/>
                <w:sz w:val="20"/>
              </w:rPr>
              <w:t>€32.8m</w:t>
            </w:r>
          </w:p>
        </w:tc>
        <w:tc>
          <w:tcPr>
            <w:tcW w:type="dxa" w:w="1872"/>
          </w:tcPr>
          <w:p>
            <w:r/>
            <w:r>
              <w:rPr>
                <w:rFonts w:ascii="Arial" w:hAnsi="Arial"/>
                <w:sz w:val="20"/>
              </w:rPr>
              <w:t>635k</w:t>
            </w:r>
          </w:p>
        </w:tc>
        <w:tc>
          <w:tcPr>
            <w:tcW w:type="dxa" w:w="1872"/>
          </w:tcPr>
          <w:p>
            <w:r/>
            <w:r>
              <w:rPr>
                <w:rFonts w:ascii="Arial" w:hAnsi="Arial"/>
                <w:sz w:val="20"/>
              </w:rPr>
              <w:t>€51.68</w:t>
            </w:r>
          </w:p>
        </w:tc>
        <w:tc>
          <w:tcPr>
            <w:tcW w:type="dxa" w:w="1872"/>
          </w:tcPr>
          <w:p>
            <w:r/>
            <w:r>
              <w:rPr>
                <w:rFonts w:ascii="Arial" w:hAnsi="Arial"/>
                <w:sz w:val="20"/>
              </w:rPr>
              <w:t>+96.5%</w:t>
            </w:r>
          </w:p>
        </w:tc>
      </w:tr>
      <w:tr>
        <w:tc>
          <w:tcPr>
            <w:tcW w:type="dxa" w:w="1872"/>
          </w:tcPr>
          <w:p>
            <w:r/>
            <w:r>
              <w:rPr>
                <w:rFonts w:ascii="Arial" w:hAnsi="Arial"/>
                <w:sz w:val="20"/>
              </w:rPr>
              <w:t>LTM23</w:t>
            </w:r>
          </w:p>
        </w:tc>
        <w:tc>
          <w:tcPr>
            <w:tcW w:type="dxa" w:w="1872"/>
          </w:tcPr>
          <w:p>
            <w:r/>
            <w:r>
              <w:rPr>
                <w:rFonts w:ascii="Arial" w:hAnsi="Arial"/>
                <w:sz w:val="20"/>
              </w:rPr>
              <w:t>€36.1m</w:t>
            </w:r>
          </w:p>
        </w:tc>
        <w:tc>
          <w:tcPr>
            <w:tcW w:type="dxa" w:w="1872"/>
          </w:tcPr>
          <w:p>
            <w:r/>
            <w:r>
              <w:rPr>
                <w:rFonts w:ascii="Arial" w:hAnsi="Arial"/>
                <w:sz w:val="20"/>
              </w:rPr>
              <w:t>708k</w:t>
            </w:r>
          </w:p>
        </w:tc>
        <w:tc>
          <w:tcPr>
            <w:tcW w:type="dxa" w:w="1872"/>
          </w:tcPr>
          <w:p>
            <w:r/>
            <w:r>
              <w:rPr>
                <w:rFonts w:ascii="Arial" w:hAnsi="Arial"/>
                <w:sz w:val="20"/>
              </w:rPr>
              <w:t>€51.01</w:t>
            </w:r>
          </w:p>
        </w:tc>
        <w:tc>
          <w:tcPr>
            <w:tcW w:type="dxa" w:w="1872"/>
          </w:tcPr>
          <w:p>
            <w:r/>
            <w:r>
              <w:rPr>
                <w:rFonts w:ascii="Arial" w:hAnsi="Arial"/>
                <w:sz w:val="20"/>
              </w:rPr>
              <w:t>+66.1% vs LTM22</w:t>
            </w:r>
          </w:p>
        </w:tc>
      </w:tr>
      <w:tr>
        <w:tc>
          <w:tcPr>
            <w:tcW w:type="dxa" w:w="1872"/>
          </w:tcPr>
          <w:p>
            <w:r/>
            <w:r>
              <w:rPr>
                <w:rFonts w:ascii="Arial" w:hAnsi="Arial"/>
                <w:sz w:val="20"/>
              </w:rPr>
              <w:t>CAGR</w:t>
            </w:r>
          </w:p>
        </w:tc>
        <w:tc>
          <w:tcPr>
            <w:tcW w:type="dxa" w:w="1872"/>
          </w:tcPr>
          <w:p>
            <w:r/>
            <w:r>
              <w:rPr>
                <w:rFonts w:ascii="Arial" w:hAnsi="Arial"/>
                <w:sz w:val="20"/>
              </w:rPr>
              <w:t>~+39%</w:t>
            </w:r>
          </w:p>
        </w:tc>
        <w:tc>
          <w:tcPr>
            <w:tcW w:type="dxa" w:w="1872"/>
          </w:tcPr>
          <w:p>
            <w:r/>
            <w:r>
              <w:rPr>
                <w:rFonts w:ascii="Arial" w:hAnsi="Arial"/>
                <w:sz w:val="20"/>
              </w:rPr>
            </w:r>
          </w:p>
        </w:tc>
        <w:tc>
          <w:tcPr>
            <w:tcW w:type="dxa" w:w="1872"/>
          </w:tcPr>
          <w:p>
            <w:r/>
            <w:r>
              <w:rPr>
                <w:rFonts w:ascii="Arial" w:hAnsi="Arial"/>
                <w:sz w:val="20"/>
              </w:rPr>
            </w:r>
          </w:p>
        </w:tc>
        <w:tc>
          <w:tcPr>
            <w:tcW w:type="dxa" w:w="1872"/>
          </w:tcPr>
          <w:p>
            <w:r/>
            <w:r>
              <w:rPr>
                <w:rFonts w:ascii="Arial" w:hAnsi="Arial"/>
                <w:sz w:val="20"/>
              </w:rPr>
            </w:r>
          </w:p>
        </w:tc>
      </w:tr>
    </w:tbl>
    <w:p/>
    <w:p>
      <w:r>
        <w:drawing>
          <wp:inline xmlns:a="http://schemas.openxmlformats.org/drawingml/2006/main" xmlns:pic="http://schemas.openxmlformats.org/drawingml/2006/picture">
            <wp:extent cx="5486400" cy="3048000"/>
            <wp:docPr id="1" name="Picture 1"/>
            <wp:cNvGraphicFramePr>
              <a:graphicFrameLocks noChangeAspect="1"/>
            </wp:cNvGraphicFramePr>
            <a:graphic>
              <a:graphicData uri="http://schemas.openxmlformats.org/drawingml/2006/picture">
                <pic:pic>
                  <pic:nvPicPr>
                    <pic:cNvPr id="0" name="iter1_revenue_by_year.png"/>
                    <pic:cNvPicPr/>
                  </pic:nvPicPr>
                  <pic:blipFill>
                    <a:blip r:embed="rId9"/>
                    <a:stretch>
                      <a:fillRect/>
                    </a:stretch>
                  </pic:blipFill>
                  <pic:spPr>
                    <a:xfrm>
                      <a:off x="0" y="0"/>
                      <a:ext cx="5486400" cy="3048000"/>
                    </a:xfrm>
                    <a:prstGeom prst="rect"/>
                  </pic:spPr>
                </pic:pic>
              </a:graphicData>
            </a:graphic>
          </wp:inline>
        </w:drawing>
      </w:r>
    </w:p>
    <w:p>
      <w:r>
        <w:t>The PxQ decomposition reveals that this growth is overwhelmingly volume-driven throughout both periods. In FY2021→FY2022, the volume effect accounted for €14.9m (92.6% of the total €16.1m delta), with a modest favourable price/mix contribution of €1.2m (+7.4%). In the subsequent LTM22→LTM23 period, volume remained the dominant driver at €14.7m (102.5% of the delta), while price/mix turned marginally negative at –€0.4m (–2.5%), indicating that the blended average selling price has begun to compress at scale.</w:t>
      </w:r>
    </w:p>
    <w:p>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iter2_pxq_waterfall_fy21_fy22.png"/>
                    <pic:cNvPicPr/>
                  </pic:nvPicPr>
                  <pic:blipFill>
                    <a:blip r:embed="rId10"/>
                    <a:stretch>
                      <a:fillRect/>
                    </a:stretch>
                  </pic:blipFill>
                  <pic:spPr>
                    <a:xfrm>
                      <a:off x="0" y="0"/>
                      <a:ext cx="5486400" cy="3429000"/>
                    </a:xfrm>
                    <a:prstGeom prst="rect"/>
                  </pic:spPr>
                </pic:pic>
              </a:graphicData>
            </a:graphic>
          </wp:inline>
        </w:drawing>
      </w:r>
    </w:p>
    <w:p>
      <w:r>
        <w:t>This ASP dilution is consistent with a portfolio mix that has shifted progressively towards lower-tier models: Entry-tier models (ASP below €48) grew +204% and Lower-Mid models +136% between FY2021 and FY2022, compared with only +39% for Premium models (ASP above €65). The growth story is therefore not one of premiumisation or pricing power; it is a volume story built on broad-based distribution of lower-priced fashion product. The commercial implications are significant: volume-led growth is inherently dependent on continuous new model introductions and expanding distribution reach, neither of which is guaranteed to persist at current rates.</w:t>
      </w:r>
    </w:p>
    <w:p>
      <w:pPr>
        <w:pStyle w:val="Heading3"/>
      </w:pPr>
      <w:r>
        <w:rPr>
          <w:rFonts w:ascii="Arial" w:hAnsi="Arial"/>
          <w:color w:val="26890D"/>
        </w:rPr>
        <w:t>1.2 Channel Economics</w:t>
      </w:r>
    </w:p>
    <w:p>
      <w:r/>
      <w:r>
        <w:rPr>
          <w:b/>
        </w:rPr>
        <w:t>Basis of Preparation.</w:t>
      </w:r>
      <w:r>
        <w:t xml:space="preserve"> Channel revenue, client counts, transaction counts, average order values (AOV), and average selling prices (ASP) were computed separately for three channels — Wholesales, Retail, and Online — across FY2021, FY2022, and LTM23. AOV is defined as total channel revenue divided by the number of transactions in the period; ASP as total revenue divided by net units sold.</w:t>
      </w:r>
    </w:p>
    <w:p>
      <w:r>
        <w:t>The business operates three structurally distinct channels with different economics, growth trajectories, and risk profiles.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046A38"/>
          </w:tcPr>
          <w:p>
            <w:r>
              <w:rPr>
                <w:b/>
                <w:color w:val="FFFFFF"/>
              </w:rPr>
            </w:r>
            <w:r>
              <w:rPr>
                <w:rFonts w:ascii="Arial" w:hAnsi="Arial"/>
                <w:b/>
                <w:color w:val="FFFFFF"/>
                <w:sz w:val="20"/>
              </w:rPr>
              <w:t>Channel</w:t>
            </w:r>
          </w:p>
        </w:tc>
        <w:tc>
          <w:tcPr>
            <w:tcW w:type="dxa" w:w="1560"/>
            <w:shd w:val="clear" w:color="auto" w:fill="046A38"/>
          </w:tcPr>
          <w:p>
            <w:r>
              <w:rPr>
                <w:b/>
                <w:color w:val="FFFFFF"/>
              </w:rPr>
            </w:r>
            <w:r>
              <w:rPr>
                <w:rFonts w:ascii="Arial" w:hAnsi="Arial"/>
                <w:b/>
                <w:color w:val="FFFFFF"/>
                <w:sz w:val="20"/>
              </w:rPr>
              <w:t>FY2021 Revenue</w:t>
            </w:r>
          </w:p>
        </w:tc>
        <w:tc>
          <w:tcPr>
            <w:tcW w:type="dxa" w:w="1560"/>
            <w:shd w:val="clear" w:color="auto" w:fill="046A38"/>
          </w:tcPr>
          <w:p>
            <w:r>
              <w:rPr>
                <w:b/>
                <w:color w:val="FFFFFF"/>
              </w:rPr>
            </w:r>
            <w:r>
              <w:rPr>
                <w:rFonts w:ascii="Arial" w:hAnsi="Arial"/>
                <w:b/>
                <w:color w:val="FFFFFF"/>
                <w:sz w:val="20"/>
              </w:rPr>
              <w:t>FY2022 Revenue</w:t>
            </w:r>
          </w:p>
        </w:tc>
        <w:tc>
          <w:tcPr>
            <w:tcW w:type="dxa" w:w="1560"/>
            <w:shd w:val="clear" w:color="auto" w:fill="046A38"/>
          </w:tcPr>
          <w:p>
            <w:r>
              <w:rPr>
                <w:b/>
                <w:color w:val="FFFFFF"/>
              </w:rPr>
            </w:r>
            <w:r>
              <w:rPr>
                <w:rFonts w:ascii="Arial" w:hAnsi="Arial"/>
                <w:b/>
                <w:color w:val="FFFFFF"/>
                <w:sz w:val="20"/>
              </w:rPr>
              <w:t>LTM23 Revenue</w:t>
            </w:r>
          </w:p>
        </w:tc>
        <w:tc>
          <w:tcPr>
            <w:tcW w:type="dxa" w:w="1560"/>
            <w:shd w:val="clear" w:color="auto" w:fill="046A38"/>
          </w:tcPr>
          <w:p>
            <w:r>
              <w:rPr>
                <w:b/>
                <w:color w:val="FFFFFF"/>
              </w:rPr>
            </w:r>
            <w:r>
              <w:rPr>
                <w:rFonts w:ascii="Arial" w:hAnsi="Arial"/>
                <w:b/>
                <w:color w:val="FFFFFF"/>
                <w:sz w:val="20"/>
              </w:rPr>
              <w:t>LTM23 Share</w:t>
            </w:r>
          </w:p>
        </w:tc>
        <w:tc>
          <w:tcPr>
            <w:tcW w:type="dxa" w:w="1560"/>
            <w:shd w:val="clear" w:color="auto" w:fill="046A38"/>
          </w:tcPr>
          <w:p>
            <w:r>
              <w:rPr>
                <w:b/>
                <w:color w:val="FFFFFF"/>
              </w:rPr>
            </w:r>
            <w:r>
              <w:rPr>
                <w:rFonts w:ascii="Arial" w:hAnsi="Arial"/>
                <w:b/>
                <w:color w:val="FFFFFF"/>
                <w:sz w:val="20"/>
              </w:rPr>
              <w:t>AOV (LTM23)</w:t>
            </w:r>
          </w:p>
        </w:tc>
      </w:tr>
      <w:tr>
        <w:tc>
          <w:tcPr>
            <w:tcW w:type="dxa" w:w="1560"/>
          </w:tcPr>
          <w:p>
            <w:r/>
            <w:r>
              <w:rPr>
                <w:rFonts w:ascii="Arial" w:hAnsi="Arial"/>
                <w:sz w:val="20"/>
              </w:rPr>
              <w:t>Wholesale</w:t>
            </w:r>
          </w:p>
        </w:tc>
        <w:tc>
          <w:tcPr>
            <w:tcW w:type="dxa" w:w="1560"/>
          </w:tcPr>
          <w:p>
            <w:r/>
            <w:r>
              <w:rPr>
                <w:rFonts w:ascii="Arial" w:hAnsi="Arial"/>
                <w:sz w:val="20"/>
              </w:rPr>
              <w:t>€10.9m</w:t>
            </w:r>
          </w:p>
        </w:tc>
        <w:tc>
          <w:tcPr>
            <w:tcW w:type="dxa" w:w="1560"/>
          </w:tcPr>
          <w:p>
            <w:r/>
            <w:r>
              <w:rPr>
                <w:rFonts w:ascii="Arial" w:hAnsi="Arial"/>
                <w:sz w:val="20"/>
              </w:rPr>
              <w:t>€20.1m</w:t>
            </w:r>
          </w:p>
        </w:tc>
        <w:tc>
          <w:tcPr>
            <w:tcW w:type="dxa" w:w="1560"/>
          </w:tcPr>
          <w:p>
            <w:r/>
            <w:r>
              <w:rPr>
                <w:rFonts w:ascii="Arial" w:hAnsi="Arial"/>
                <w:sz w:val="20"/>
              </w:rPr>
              <w:t>€21.4m</w:t>
            </w:r>
          </w:p>
        </w:tc>
        <w:tc>
          <w:tcPr>
            <w:tcW w:type="dxa" w:w="1560"/>
          </w:tcPr>
          <w:p>
            <w:r/>
            <w:r>
              <w:rPr>
                <w:rFonts w:ascii="Arial" w:hAnsi="Arial"/>
                <w:sz w:val="20"/>
              </w:rPr>
              <w:t>59.3%</w:t>
            </w:r>
          </w:p>
        </w:tc>
        <w:tc>
          <w:tcPr>
            <w:tcW w:type="dxa" w:w="1560"/>
          </w:tcPr>
          <w:p>
            <w:r/>
            <w:r>
              <w:rPr>
                <w:rFonts w:ascii="Arial" w:hAnsi="Arial"/>
                <w:sz w:val="20"/>
              </w:rPr>
              <w:t>€816</w:t>
            </w:r>
          </w:p>
        </w:tc>
      </w:tr>
      <w:tr>
        <w:tc>
          <w:tcPr>
            <w:tcW w:type="dxa" w:w="1560"/>
          </w:tcPr>
          <w:p>
            <w:r/>
            <w:r>
              <w:rPr>
                <w:rFonts w:ascii="Arial" w:hAnsi="Arial"/>
                <w:sz w:val="20"/>
              </w:rPr>
              <w:t>Online</w:t>
            </w:r>
          </w:p>
        </w:tc>
        <w:tc>
          <w:tcPr>
            <w:tcW w:type="dxa" w:w="1560"/>
          </w:tcPr>
          <w:p>
            <w:r/>
            <w:r>
              <w:rPr>
                <w:rFonts w:ascii="Arial" w:hAnsi="Arial"/>
                <w:sz w:val="20"/>
              </w:rPr>
              <w:t>€4.7m</w:t>
            </w:r>
          </w:p>
        </w:tc>
        <w:tc>
          <w:tcPr>
            <w:tcW w:type="dxa" w:w="1560"/>
          </w:tcPr>
          <w:p>
            <w:r/>
            <w:r>
              <w:rPr>
                <w:rFonts w:ascii="Arial" w:hAnsi="Arial"/>
                <w:sz w:val="20"/>
              </w:rPr>
              <w:t>€7.2m</w:t>
            </w:r>
          </w:p>
        </w:tc>
        <w:tc>
          <w:tcPr>
            <w:tcW w:type="dxa" w:w="1560"/>
          </w:tcPr>
          <w:p>
            <w:r/>
            <w:r>
              <w:rPr>
                <w:rFonts w:ascii="Arial" w:hAnsi="Arial"/>
                <w:sz w:val="20"/>
              </w:rPr>
              <w:t>€7.8m</w:t>
            </w:r>
          </w:p>
        </w:tc>
        <w:tc>
          <w:tcPr>
            <w:tcW w:type="dxa" w:w="1560"/>
          </w:tcPr>
          <w:p>
            <w:r/>
            <w:r>
              <w:rPr>
                <w:rFonts w:ascii="Arial" w:hAnsi="Arial"/>
                <w:sz w:val="20"/>
              </w:rPr>
              <w:t>21.7%</w:t>
            </w:r>
          </w:p>
        </w:tc>
        <w:tc>
          <w:tcPr>
            <w:tcW w:type="dxa" w:w="1560"/>
          </w:tcPr>
          <w:p>
            <w:r/>
            <w:r>
              <w:rPr>
                <w:rFonts w:ascii="Arial" w:hAnsi="Arial"/>
                <w:sz w:val="20"/>
              </w:rPr>
              <w:t>€3,958</w:t>
            </w:r>
          </w:p>
        </w:tc>
      </w:tr>
      <w:tr>
        <w:tc>
          <w:tcPr>
            <w:tcW w:type="dxa" w:w="1560"/>
          </w:tcPr>
          <w:p>
            <w:r/>
            <w:r>
              <w:rPr>
                <w:rFonts w:ascii="Arial" w:hAnsi="Arial"/>
                <w:sz w:val="20"/>
              </w:rPr>
              <w:t>Retail</w:t>
            </w:r>
          </w:p>
        </w:tc>
        <w:tc>
          <w:tcPr>
            <w:tcW w:type="dxa" w:w="1560"/>
          </w:tcPr>
          <w:p>
            <w:r/>
            <w:r>
              <w:rPr>
                <w:rFonts w:ascii="Arial" w:hAnsi="Arial"/>
                <w:sz w:val="20"/>
              </w:rPr>
              <w:t>€1.1m</w:t>
            </w:r>
          </w:p>
        </w:tc>
        <w:tc>
          <w:tcPr>
            <w:tcW w:type="dxa" w:w="1560"/>
          </w:tcPr>
          <w:p>
            <w:r/>
            <w:r>
              <w:rPr>
                <w:rFonts w:ascii="Arial" w:hAnsi="Arial"/>
                <w:sz w:val="20"/>
              </w:rPr>
              <w:t>€5.5m</w:t>
            </w:r>
          </w:p>
        </w:tc>
        <w:tc>
          <w:tcPr>
            <w:tcW w:type="dxa" w:w="1560"/>
          </w:tcPr>
          <w:p>
            <w:r/>
            <w:r>
              <w:rPr>
                <w:rFonts w:ascii="Arial" w:hAnsi="Arial"/>
                <w:sz w:val="20"/>
              </w:rPr>
              <w:t>€6.9m</w:t>
            </w:r>
          </w:p>
        </w:tc>
        <w:tc>
          <w:tcPr>
            <w:tcW w:type="dxa" w:w="1560"/>
          </w:tcPr>
          <w:p>
            <w:r/>
            <w:r>
              <w:rPr>
                <w:rFonts w:ascii="Arial" w:hAnsi="Arial"/>
                <w:sz w:val="20"/>
              </w:rPr>
              <w:t>19.0%</w:t>
            </w:r>
          </w:p>
        </w:tc>
        <w:tc>
          <w:tcPr>
            <w:tcW w:type="dxa" w:w="1560"/>
          </w:tcPr>
          <w:p>
            <w:r/>
            <w:r>
              <w:rPr>
                <w:rFonts w:ascii="Arial" w:hAnsi="Arial"/>
                <w:sz w:val="20"/>
              </w:rPr>
              <w:t>€373</w:t>
            </w:r>
          </w:p>
        </w:tc>
      </w:tr>
    </w:tbl>
    <w:p/>
    <w:p>
      <w:r>
        <w:drawing>
          <wp:inline xmlns:a="http://schemas.openxmlformats.org/drawingml/2006/main" xmlns:pic="http://schemas.openxmlformats.org/drawingml/2006/picture">
            <wp:extent cx="5486400" cy="3274082"/>
            <wp:docPr id="3" name="Picture 3"/>
            <wp:cNvGraphicFramePr>
              <a:graphicFrameLocks noChangeAspect="1"/>
            </wp:cNvGraphicFramePr>
            <a:graphic>
              <a:graphicData uri="http://schemas.openxmlformats.org/drawingml/2006/picture">
                <pic:pic>
                  <pic:nvPicPr>
                    <pic:cNvPr id="0" name="iter2_channel_revenue_by_period.png"/>
                    <pic:cNvPicPr/>
                  </pic:nvPicPr>
                  <pic:blipFill>
                    <a:blip r:embed="rId11"/>
                    <a:stretch>
                      <a:fillRect/>
                    </a:stretch>
                  </pic:blipFill>
                  <pic:spPr>
                    <a:xfrm>
                      <a:off x="0" y="0"/>
                      <a:ext cx="5486400" cy="3274082"/>
                    </a:xfrm>
                    <a:prstGeom prst="rect"/>
                  </pic:spPr>
                </pic:pic>
              </a:graphicData>
            </a:graphic>
          </wp:inline>
        </w:drawing>
      </w:r>
    </w:p>
    <w:p>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iter2_channel_revenue_share.png"/>
                    <pic:cNvPicPr/>
                  </pic:nvPicPr>
                  <pic:blipFill>
                    <a:blip r:embed="rId12"/>
                    <a:stretch>
                      <a:fillRect/>
                    </a:stretch>
                  </pic:blipFill>
                  <pic:spPr>
                    <a:xfrm>
                      <a:off x="0" y="0"/>
                      <a:ext cx="5486400" cy="3429000"/>
                    </a:xfrm>
                    <a:prstGeom prst="rect"/>
                  </pic:spPr>
                </pic:pic>
              </a:graphicData>
            </a:graphic>
          </wp:inline>
        </w:drawing>
      </w:r>
    </w:p>
    <w:p>
      <w:r/>
      <w:r>
        <w:rPr>
          <w:b/>
        </w:rPr>
        <w:t>Wholesale</w:t>
      </w:r>
      <w:r>
        <w:t xml:space="preserve"> — the dominant channel at 59–65% of revenue throughout the period — grew at a healthy +84.6% in FY2021→FY2022, driven primarily by strong like-for-like growth among existing accounts (+62.1%). Wholesale AOV has improved from €633 in FY2021 to €816 in LTM23, indicating larger basket sizes among established accounts. However, the LTM23 growth rate decelerated sharply to +6.5%, and as discussed in Section 3, the entire increment is attributable to new client acquisition rather than organic growth among returning accounts.</w:t>
      </w:r>
    </w:p>
    <w:p>
      <w:r/>
      <w:r>
        <w:rPr>
          <w:b/>
        </w:rPr>
        <w:t>Online</w:t>
      </w:r>
      <w:r>
        <w:t xml:space="preserve"> — the highest-AOV channel at approximately €3,958 per transaction — is served by a single client throughout the entire observation period, which is consistent with a marketplace or aggregator relationship rather than a direct-to-consumer channel. Online revenue grew from €4.7m to €7.8m (+66%), but its revenue share has declined by 6.4 percentage points to 21.7% as Wholesale and Retail have scaled faster. The high AOV (approximately 4.8x Wholesale and 10.6x Retail) masks a meaningful single-client dependency risk that warrants further investigation. ASP within the Online channel has compressed from €79.15 to €75.23, suggesting either pricing concessions or a product mix shift towards lower-priced models.</w:t>
      </w:r>
    </w:p>
    <w:p>
      <w:r/>
      <w:r>
        <w:rPr>
          <w:b/>
        </w:rPr>
        <w:t>Retail</w:t>
      </w:r>
      <w:r>
        <w:t xml:space="preserve"> — the fastest-growing channel, with client count expanding from 4 to 63 (CAGR of approximately +240%) and revenue share growing +12.3 percentage points to 19.0% — is simultaneously exhibiting significant AOV compression, from €1,091 in FY2021 to €373 in LTM23. This compression reflects the arithmetic effect of onboarding a large number of smaller retail accounts rather than a structural deterioration in per-client economics. Retail's growth trajectory warrants monitoring as a potential channel diversification story, though the low AOV of new accounts limits near-term revenue materiality per client.</w:t>
      </w:r>
    </w:p>
    <w:p>
      <w:r>
        <w:drawing>
          <wp:inline xmlns:a="http://schemas.openxmlformats.org/drawingml/2006/main" xmlns:pic="http://schemas.openxmlformats.org/drawingml/2006/picture">
            <wp:extent cx="5486400" cy="2743200"/>
            <wp:docPr id="5" name="Picture 5"/>
            <wp:cNvGraphicFramePr>
              <a:graphicFrameLocks noChangeAspect="1"/>
            </wp:cNvGraphicFramePr>
            <a:graphic>
              <a:graphicData uri="http://schemas.openxmlformats.org/drawingml/2006/picture">
                <pic:pic>
                  <pic:nvPicPr>
                    <pic:cNvPr id="0" name="iter2_channel_aov_by_period.png"/>
                    <pic:cNvPicPr/>
                  </pic:nvPicPr>
                  <pic:blipFill>
                    <a:blip r:embed="rId13"/>
                    <a:stretch>
                      <a:fillRect/>
                    </a:stretch>
                  </pic:blipFill>
                  <pic:spPr>
                    <a:xfrm>
                      <a:off x="0" y="0"/>
                      <a:ext cx="5486400" cy="2743200"/>
                    </a:xfrm>
                    <a:prstGeom prst="rect"/>
                  </pic:spPr>
                </pic:pic>
              </a:graphicData>
            </a:graphic>
          </wp:inline>
        </w:drawing>
      </w:r>
    </w:p>
    <w:p/>
    <w:p>
      <w:pPr>
        <w:pStyle w:val="Heading2"/>
      </w:pPr>
      <w:r>
        <w:rPr>
          <w:rFonts w:ascii="Arial" w:hAnsi="Arial"/>
          <w:color w:val="26890D"/>
        </w:rPr>
        <w:t>Section 2: Product Lifecycle Dynamics</w:t>
      </w:r>
    </w:p>
    <w:p>
      <w:pPr>
        <w:pStyle w:val="Heading3"/>
      </w:pPr>
      <w:r>
        <w:rPr>
          <w:rFonts w:ascii="Arial" w:hAnsi="Arial"/>
          <w:color w:val="26890D"/>
        </w:rPr>
        <w:t>2.1 New Entrant Model Velocity and Post-Peak Decay</w:t>
      </w:r>
    </w:p>
    <w:p>
      <w:r/>
      <w:r>
        <w:rPr>
          <w:b/>
        </w:rPr>
        <w:t>Basis of Preparation.</w:t>
      </w:r>
      <w:r>
        <w:t xml:space="preserve"> Models were classified into lifecycle categories based on their revenue presence across time windows: </w:t>
      </w:r>
      <w:r>
        <w:rPr>
          <w:b/>
        </w:rPr>
        <w:t>New Entrant (NE)</w:t>
      </w:r>
      <w:r>
        <w:t xml:space="preserve"> — models with zero revenue in FY2021 but active in LTM23; </w:t>
      </w:r>
      <w:r>
        <w:rPr>
          <w:b/>
        </w:rPr>
        <w:t>Stable</w:t>
      </w:r>
      <w:r>
        <w:t xml:space="preserve"> — models present in both FY2021 and LTM23 with less than 30% cumulative revenue decline; </w:t>
      </w:r>
      <w:r>
        <w:rPr>
          <w:b/>
        </w:rPr>
        <w:t>Bust</w:t>
      </w:r>
      <w:r>
        <w:t xml:space="preserve"> — models that generated material revenue in prior periods but have declined by more than 50% from peak; </w:t>
      </w:r>
      <w:r>
        <w:rPr>
          <w:b/>
        </w:rPr>
        <w:t>Boom</w:t>
      </w:r>
      <w:r>
        <w:t xml:space="preserve"> — models that exhibited rapid growth but have not yet been observed through a full decay cycle. Time-to-peak was calculated as the number of months from a model's first recorded revenue month to its highest single-month revenue month. Post-peak retention at +Nm was defined as the ratio of revenue in the Nth month after peak to peak monthly revenue, calculated at the individual model level and then averaged across the cohort.</w:t>
      </w:r>
    </w:p>
    <w:p>
      <w:r>
        <w:drawing>
          <wp:inline xmlns:a="http://schemas.openxmlformats.org/drawingml/2006/main" xmlns:pic="http://schemas.openxmlformats.org/drawingml/2006/picture">
            <wp:extent cx="5486400" cy="2455532"/>
            <wp:docPr id="6" name="Picture 6"/>
            <wp:cNvGraphicFramePr>
              <a:graphicFrameLocks noChangeAspect="1"/>
            </wp:cNvGraphicFramePr>
            <a:graphic>
              <a:graphicData uri="http://schemas.openxmlformats.org/drawingml/2006/picture">
                <pic:pic>
                  <pic:nvPicPr>
                    <pic:cNvPr id="0" name="iter2_product_lifecycle_velocity.png"/>
                    <pic:cNvPicPr/>
                  </pic:nvPicPr>
                  <pic:blipFill>
                    <a:blip r:embed="rId14"/>
                    <a:stretch>
                      <a:fillRect/>
                    </a:stretch>
                  </pic:blipFill>
                  <pic:spPr>
                    <a:xfrm>
                      <a:off x="0" y="0"/>
                      <a:ext cx="5486400" cy="2455532"/>
                    </a:xfrm>
                    <a:prstGeom prst="rect"/>
                  </pic:spPr>
                </pic:pic>
              </a:graphicData>
            </a:graphic>
          </wp:inline>
        </w:drawing>
      </w:r>
    </w:p>
    <w:p>
      <w:r>
        <w:t>New Entrant models constitute the single largest lifecycle bucket in LTM23, representing 50–55% of total revenue (approximately €18–20m across 109–123 models, depending on the time window applied). This dominance is the primary growth driver but also the primary structural risk of the portfolio. The median time-to-peak for New Entrant models is month three after launch — meaning that within 90 days of introduction, most models are already past the point of maximum demand.</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046A38"/>
          </w:tcPr>
          <w:p>
            <w:r>
              <w:rPr>
                <w:b/>
                <w:color w:val="FFFFFF"/>
              </w:rPr>
            </w:r>
            <w:r>
              <w:rPr>
                <w:rFonts w:ascii="Arial" w:hAnsi="Arial"/>
                <w:b/>
                <w:color w:val="FFFFFF"/>
                <w:sz w:val="20"/>
              </w:rPr>
              <w:t>Post-Peak Month</w:t>
            </w:r>
          </w:p>
        </w:tc>
        <w:tc>
          <w:tcPr>
            <w:tcW w:type="dxa" w:w="3120"/>
            <w:shd w:val="clear" w:color="auto" w:fill="046A38"/>
          </w:tcPr>
          <w:p>
            <w:r>
              <w:rPr>
                <w:b/>
                <w:color w:val="FFFFFF"/>
              </w:rPr>
            </w:r>
            <w:r>
              <w:rPr>
                <w:rFonts w:ascii="Arial" w:hAnsi="Arial"/>
                <w:b/>
                <w:color w:val="FFFFFF"/>
                <w:sz w:val="20"/>
              </w:rPr>
              <w:t>Avg Retention (NE)</w:t>
            </w:r>
          </w:p>
        </w:tc>
        <w:tc>
          <w:tcPr>
            <w:tcW w:type="dxa" w:w="3120"/>
            <w:shd w:val="clear" w:color="auto" w:fill="046A38"/>
          </w:tcPr>
          <w:p>
            <w:r>
              <w:rPr>
                <w:b/>
                <w:color w:val="FFFFFF"/>
              </w:rPr>
            </w:r>
            <w:r>
              <w:rPr>
                <w:rFonts w:ascii="Arial" w:hAnsi="Arial"/>
                <w:b/>
                <w:color w:val="FFFFFF"/>
                <w:sz w:val="20"/>
              </w:rPr>
              <w:t>Avg Retention (Stable)</w:t>
            </w:r>
          </w:p>
        </w:tc>
      </w:tr>
      <w:tr>
        <w:tc>
          <w:tcPr>
            <w:tcW w:type="dxa" w:w="3120"/>
          </w:tcPr>
          <w:p>
            <w:r/>
            <w:r>
              <w:rPr>
                <w:rFonts w:ascii="Arial" w:hAnsi="Arial"/>
                <w:sz w:val="20"/>
              </w:rPr>
              <w:t>+1m</w:t>
            </w:r>
          </w:p>
        </w:tc>
        <w:tc>
          <w:tcPr>
            <w:tcW w:type="dxa" w:w="3120"/>
          </w:tcPr>
          <w:p>
            <w:r/>
            <w:r>
              <w:rPr>
                <w:rFonts w:ascii="Arial" w:hAnsi="Arial"/>
                <w:sz w:val="20"/>
              </w:rPr>
              <w:t>45%</w:t>
            </w:r>
          </w:p>
        </w:tc>
        <w:tc>
          <w:tcPr>
            <w:tcW w:type="dxa" w:w="3120"/>
          </w:tcPr>
          <w:p>
            <w:r/>
            <w:r>
              <w:rPr>
                <w:rFonts w:ascii="Arial" w:hAnsi="Arial"/>
                <w:sz w:val="20"/>
              </w:rPr>
              <w:t>~80%+</w:t>
            </w:r>
          </w:p>
        </w:tc>
      </w:tr>
      <w:tr>
        <w:tc>
          <w:tcPr>
            <w:tcW w:type="dxa" w:w="3120"/>
          </w:tcPr>
          <w:p>
            <w:r/>
            <w:r>
              <w:rPr>
                <w:rFonts w:ascii="Arial" w:hAnsi="Arial"/>
                <w:sz w:val="20"/>
              </w:rPr>
              <w:t>+2m</w:t>
            </w:r>
          </w:p>
        </w:tc>
        <w:tc>
          <w:tcPr>
            <w:tcW w:type="dxa" w:w="3120"/>
          </w:tcPr>
          <w:p>
            <w:r/>
            <w:r>
              <w:rPr>
                <w:rFonts w:ascii="Arial" w:hAnsi="Arial"/>
                <w:sz w:val="20"/>
              </w:rPr>
              <w:t>32%</w:t>
            </w:r>
          </w:p>
        </w:tc>
        <w:tc>
          <w:tcPr>
            <w:tcW w:type="dxa" w:w="3120"/>
          </w:tcPr>
          <w:p>
            <w:r/>
            <w:r>
              <w:rPr>
                <w:rFonts w:ascii="Arial" w:hAnsi="Arial"/>
                <w:sz w:val="20"/>
              </w:rPr>
              <w:t>~70%+</w:t>
            </w:r>
          </w:p>
        </w:tc>
      </w:tr>
      <w:tr>
        <w:tc>
          <w:tcPr>
            <w:tcW w:type="dxa" w:w="3120"/>
          </w:tcPr>
          <w:p>
            <w:r/>
            <w:r>
              <w:rPr>
                <w:rFonts w:ascii="Arial" w:hAnsi="Arial"/>
                <w:sz w:val="20"/>
              </w:rPr>
              <w:t>+3m</w:t>
            </w:r>
          </w:p>
        </w:tc>
        <w:tc>
          <w:tcPr>
            <w:tcW w:type="dxa" w:w="3120"/>
          </w:tcPr>
          <w:p>
            <w:r/>
            <w:r>
              <w:rPr>
                <w:rFonts w:ascii="Arial" w:hAnsi="Arial"/>
                <w:sz w:val="20"/>
              </w:rPr>
              <w:t>26%</w:t>
            </w:r>
          </w:p>
        </w:tc>
        <w:tc>
          <w:tcPr>
            <w:tcW w:type="dxa" w:w="3120"/>
          </w:tcPr>
          <w:p>
            <w:r/>
            <w:r>
              <w:rPr>
                <w:rFonts w:ascii="Arial" w:hAnsi="Arial"/>
                <w:sz w:val="20"/>
              </w:rPr>
              <w:t>~60%+</w:t>
            </w:r>
          </w:p>
        </w:tc>
      </w:tr>
      <w:tr>
        <w:tc>
          <w:tcPr>
            <w:tcW w:type="dxa" w:w="3120"/>
          </w:tcPr>
          <w:p>
            <w:r/>
            <w:r>
              <w:rPr>
                <w:rFonts w:ascii="Arial" w:hAnsi="Arial"/>
                <w:sz w:val="20"/>
              </w:rPr>
              <w:t>+6m</w:t>
            </w:r>
          </w:p>
        </w:tc>
        <w:tc>
          <w:tcPr>
            <w:tcW w:type="dxa" w:w="3120"/>
          </w:tcPr>
          <w:p>
            <w:r/>
            <w:r>
              <w:rPr>
                <w:rFonts w:ascii="Arial" w:hAnsi="Arial"/>
                <w:sz w:val="20"/>
              </w:rPr>
              <w:t>17%</w:t>
            </w:r>
          </w:p>
        </w:tc>
        <w:tc>
          <w:tcPr>
            <w:tcW w:type="dxa" w:w="3120"/>
          </w:tcPr>
          <w:p>
            <w:r/>
            <w:r>
              <w:rPr>
                <w:rFonts w:ascii="Arial" w:hAnsi="Arial"/>
                <w:sz w:val="20"/>
              </w:rPr>
              <w:t>~40%+</w:t>
            </w:r>
          </w:p>
        </w:tc>
      </w:tr>
    </w:tbl>
    <w:p/>
    <w:p>
      <w:r>
        <w:t>The contrast with Stable models — models with active lifespans extending to a median of 18 months versus 7 months for New Entrants, and revenue curves that continue compounding to month 25 — underscores the structural difference between the two populations. A Stable model generates recurring, accumulating revenue; a New Entrant model generates a sharp spike followed by rapid decay. Only 4.4% of New Entrant models retain more than 50% of their peak revenue at the six-month mark.</w:t>
      </w:r>
    </w:p>
    <w:p>
      <w:r>
        <w:drawing>
          <wp:inline xmlns:a="http://schemas.openxmlformats.org/drawingml/2006/main" xmlns:pic="http://schemas.openxmlformats.org/drawingml/2006/picture">
            <wp:extent cx="5486400" cy="2938940"/>
            <wp:docPr id="7" name="Picture 7"/>
            <wp:cNvGraphicFramePr>
              <a:graphicFrameLocks noChangeAspect="1"/>
            </wp:cNvGraphicFramePr>
            <a:graphic>
              <a:graphicData uri="http://schemas.openxmlformats.org/drawingml/2006/picture">
                <pic:pic>
                  <pic:nvPicPr>
                    <pic:cNvPr id="0" name="iter2_post_peak_retention_by_lifecycle.png"/>
                    <pic:cNvPicPr/>
                  </pic:nvPicPr>
                  <pic:blipFill>
                    <a:blip r:embed="rId15"/>
                    <a:stretch>
                      <a:fillRect/>
                    </a:stretch>
                  </pic:blipFill>
                  <pic:spPr>
                    <a:xfrm>
                      <a:off x="0" y="0"/>
                      <a:ext cx="5486400" cy="2938940"/>
                    </a:xfrm>
                    <a:prstGeom prst="rect"/>
                  </pic:spPr>
                </pic:pic>
              </a:graphicData>
            </a:graphic>
          </wp:inline>
        </w:drawing>
      </w:r>
    </w:p>
    <w:p>
      <w:r>
        <w:t xml:space="preserve">The Bust cohort — comprising models that generated material revenue in prior periods and have since declined materially — generated €8.45m in LTM22 before collapsing to €2.06m in LTM23, a headwind of €6.4m that was fully absorbed by the wave of New Entrant introductions. This confirms that the business operates a </w:t>
      </w:r>
      <w:r>
        <w:rPr>
          <w:b/>
        </w:rPr>
        <w:t>rolling-cohort substitution model</w:t>
      </w:r>
      <w:r>
        <w:t>: each generation of New Entrant launches is necessary not merely to drive incremental growth but to replace the revenue base being eroded by the decay of prior cohorts.</w:t>
      </w:r>
    </w:p>
    <w:p>
      <w:r>
        <w:drawing>
          <wp:inline xmlns:a="http://schemas.openxmlformats.org/drawingml/2006/main" xmlns:pic="http://schemas.openxmlformats.org/drawingml/2006/picture">
            <wp:extent cx="5486400" cy="2424351"/>
            <wp:docPr id="8" name="Picture 8"/>
            <wp:cNvGraphicFramePr>
              <a:graphicFrameLocks noChangeAspect="1"/>
            </wp:cNvGraphicFramePr>
            <a:graphic>
              <a:graphicData uri="http://schemas.openxmlformats.org/drawingml/2006/picture">
                <pic:pic>
                  <pic:nvPicPr>
                    <pic:cNvPr id="0" name="iter1_product_lifecycle_analysis.png"/>
                    <pic:cNvPicPr/>
                  </pic:nvPicPr>
                  <pic:blipFill>
                    <a:blip r:embed="rId16"/>
                    <a:stretch>
                      <a:fillRect/>
                    </a:stretch>
                  </pic:blipFill>
                  <pic:spPr>
                    <a:xfrm>
                      <a:off x="0" y="0"/>
                      <a:ext cx="5486400" cy="2424351"/>
                    </a:xfrm>
                    <a:prstGeom prst="rect"/>
                  </pic:spPr>
                </pic:pic>
              </a:graphicData>
            </a:graphic>
          </wp:inline>
        </w:drawing>
      </w:r>
    </w:p>
    <w:p>
      <w:r>
        <w:t>The sustainability of this model depends critically on maintaining a continuous, high-volume pipeline of new model introductions. There is evidence that this pipeline is already decelerating: only three new Entry-tier models were launched in LTM23, compared with 32 launches in FY2022 — an order-of-magnitude reduction that, if sustained, would create a material forward revenue gap.</w:t>
      </w:r>
    </w:p>
    <w:p>
      <w:pPr>
        <w:pStyle w:val="Heading3"/>
      </w:pPr>
      <w:r>
        <w:rPr>
          <w:rFonts w:ascii="Arial" w:hAnsi="Arial"/>
          <w:color w:val="26890D"/>
        </w:rPr>
        <w:t>2.2 New Entrant Durability Segmentation</w:t>
      </w:r>
    </w:p>
    <w:p>
      <w:r/>
      <w:r>
        <w:rPr>
          <w:b/>
        </w:rPr>
        <w:t>Basis of Preparation.</w:t>
      </w:r>
      <w:r>
        <w:t xml:space="preserve"> Of the 123 New Entrant models active in LTM23, 97 had sufficient post-launch history (at minimum four consecutive months of data) to permit post-peak retention measurement. These 97 models were segmented into three durability classes based on their retention ratio at three months after peak: </w:t>
      </w:r>
      <w:r>
        <w:rPr>
          <w:b/>
        </w:rPr>
        <w:t>Durable</w:t>
      </w:r>
      <w:r>
        <w:t xml:space="preserve"> (≥40% retention), </w:t>
      </w:r>
      <w:r>
        <w:rPr>
          <w:b/>
        </w:rPr>
        <w:t>Mid-tier</w:t>
      </w:r>
      <w:r>
        <w:t xml:space="preserve"> (20–40% retention), and </w:t>
      </w:r>
      <w:r>
        <w:rPr>
          <w:b/>
        </w:rPr>
        <w:t>Transient</w:t>
      </w:r>
      <w:r>
        <w:t xml:space="preserve"> (&lt;20% retention). Launch ASP was defined as the average selling price in the model's first active month. Launch velocity (M1 revenue) was the total revenue recorded in the launch month. Pearson correlation coefficients were computed between these predictors and the continuous retention variable.</w:t>
      </w:r>
    </w:p>
    <w:p>
      <w:r>
        <w:drawing>
          <wp:inline xmlns:a="http://schemas.openxmlformats.org/drawingml/2006/main" xmlns:pic="http://schemas.openxmlformats.org/drawingml/2006/picture">
            <wp:extent cx="5486400" cy="2329480"/>
            <wp:docPr id="9" name="Picture 9"/>
            <wp:cNvGraphicFramePr>
              <a:graphicFrameLocks noChangeAspect="1"/>
            </wp:cNvGraphicFramePr>
            <a:graphic>
              <a:graphicData uri="http://schemas.openxmlformats.org/drawingml/2006/picture">
                <pic:pic>
                  <pic:nvPicPr>
                    <pic:cNvPr id="0" name="iter3_revenue_by_durability_cohort.png"/>
                    <pic:cNvPicPr/>
                  </pic:nvPicPr>
                  <pic:blipFill>
                    <a:blip r:embed="rId17"/>
                    <a:stretch>
                      <a:fillRect/>
                    </a:stretch>
                  </pic:blipFill>
                  <pic:spPr>
                    <a:xfrm>
                      <a:off x="0" y="0"/>
                      <a:ext cx="5486400" cy="2329480"/>
                    </a:xfrm>
                    <a:prstGeom prst="rect"/>
                  </pic:spPr>
                </pic:pic>
              </a:graphicData>
            </a:graphic>
          </wp:inline>
        </w:drawing>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046A38"/>
          </w:tcPr>
          <w:p>
            <w:r>
              <w:rPr>
                <w:b/>
                <w:color w:val="FFFFFF"/>
              </w:rPr>
            </w:r>
            <w:r>
              <w:rPr>
                <w:rFonts w:ascii="Arial" w:hAnsi="Arial"/>
                <w:b/>
                <w:color w:val="FFFFFF"/>
                <w:sz w:val="20"/>
              </w:rPr>
              <w:t>Durability Class</w:t>
            </w:r>
          </w:p>
        </w:tc>
        <w:tc>
          <w:tcPr>
            <w:tcW w:type="dxa" w:w="2340"/>
            <w:shd w:val="clear" w:color="auto" w:fill="046A38"/>
          </w:tcPr>
          <w:p>
            <w:r>
              <w:rPr>
                <w:b/>
                <w:color w:val="FFFFFF"/>
              </w:rPr>
            </w:r>
            <w:r>
              <w:rPr>
                <w:rFonts w:ascii="Arial" w:hAnsi="Arial"/>
                <w:b/>
                <w:color w:val="FFFFFF"/>
                <w:sz w:val="20"/>
              </w:rPr>
              <w:t>Model Count</w:t>
            </w:r>
          </w:p>
        </w:tc>
        <w:tc>
          <w:tcPr>
            <w:tcW w:type="dxa" w:w="2340"/>
            <w:shd w:val="clear" w:color="auto" w:fill="046A38"/>
          </w:tcPr>
          <w:p>
            <w:r>
              <w:rPr>
                <w:b/>
                <w:color w:val="FFFFFF"/>
              </w:rPr>
            </w:r>
            <w:r>
              <w:rPr>
                <w:rFonts w:ascii="Arial" w:hAnsi="Arial"/>
                <w:b/>
                <w:color w:val="FFFFFF"/>
                <w:sz w:val="20"/>
              </w:rPr>
              <w:t>Share</w:t>
            </w:r>
          </w:p>
        </w:tc>
        <w:tc>
          <w:tcPr>
            <w:tcW w:type="dxa" w:w="2340"/>
            <w:shd w:val="clear" w:color="auto" w:fill="046A38"/>
          </w:tcPr>
          <w:p>
            <w:r>
              <w:rPr>
                <w:b/>
                <w:color w:val="FFFFFF"/>
              </w:rPr>
            </w:r>
            <w:r>
              <w:rPr>
                <w:rFonts w:ascii="Arial" w:hAnsi="Arial"/>
                <w:b/>
                <w:color w:val="FFFFFF"/>
                <w:sz w:val="20"/>
              </w:rPr>
              <w:t>LTM23 Revenue</w:t>
            </w:r>
          </w:p>
        </w:tc>
      </w:tr>
      <w:tr>
        <w:tc>
          <w:tcPr>
            <w:tcW w:type="dxa" w:w="2340"/>
          </w:tcPr>
          <w:p>
            <w:r/>
            <w:r>
              <w:rPr>
                <w:rFonts w:ascii="Arial" w:hAnsi="Arial"/>
                <w:sz w:val="20"/>
              </w:rPr>
              <w:t>Durable (≥40% ret. at +3m)</w:t>
            </w:r>
          </w:p>
        </w:tc>
        <w:tc>
          <w:tcPr>
            <w:tcW w:type="dxa" w:w="2340"/>
          </w:tcPr>
          <w:p>
            <w:r/>
            <w:r>
              <w:rPr>
                <w:rFonts w:ascii="Arial" w:hAnsi="Arial"/>
                <w:sz w:val="20"/>
              </w:rPr>
              <w:t>18</w:t>
            </w:r>
          </w:p>
        </w:tc>
        <w:tc>
          <w:tcPr>
            <w:tcW w:type="dxa" w:w="2340"/>
          </w:tcPr>
          <w:p>
            <w:r/>
            <w:r>
              <w:rPr>
                <w:rFonts w:ascii="Arial" w:hAnsi="Arial"/>
                <w:sz w:val="20"/>
              </w:rPr>
              <w:t>18.6%</w:t>
            </w:r>
          </w:p>
        </w:tc>
        <w:tc>
          <w:tcPr>
            <w:tcW w:type="dxa" w:w="2340"/>
          </w:tcPr>
          <w:p>
            <w:r/>
            <w:r>
              <w:rPr>
                <w:rFonts w:ascii="Arial" w:hAnsi="Arial"/>
                <w:sz w:val="20"/>
              </w:rPr>
              <w:t>€4.60m</w:t>
            </w:r>
          </w:p>
        </w:tc>
      </w:tr>
      <w:tr>
        <w:tc>
          <w:tcPr>
            <w:tcW w:type="dxa" w:w="2340"/>
          </w:tcPr>
          <w:p>
            <w:r/>
            <w:r>
              <w:rPr>
                <w:rFonts w:ascii="Arial" w:hAnsi="Arial"/>
                <w:sz w:val="20"/>
              </w:rPr>
              <w:t>Mid-tier (20–40%)</w:t>
            </w:r>
          </w:p>
        </w:tc>
        <w:tc>
          <w:tcPr>
            <w:tcW w:type="dxa" w:w="2340"/>
          </w:tcPr>
          <w:p>
            <w:r/>
            <w:r>
              <w:rPr>
                <w:rFonts w:ascii="Arial" w:hAnsi="Arial"/>
                <w:sz w:val="20"/>
              </w:rPr>
              <w:t>32</w:t>
            </w:r>
          </w:p>
        </w:tc>
        <w:tc>
          <w:tcPr>
            <w:tcW w:type="dxa" w:w="2340"/>
          </w:tcPr>
          <w:p>
            <w:r/>
            <w:r>
              <w:rPr>
                <w:rFonts w:ascii="Arial" w:hAnsi="Arial"/>
                <w:sz w:val="20"/>
              </w:rPr>
              <w:t>33.0%</w:t>
            </w:r>
          </w:p>
        </w:tc>
        <w:tc>
          <w:tcPr>
            <w:tcW w:type="dxa" w:w="2340"/>
          </w:tcPr>
          <w:p>
            <w:r/>
            <w:r>
              <w:rPr>
                <w:rFonts w:ascii="Arial" w:hAnsi="Arial"/>
                <w:sz w:val="20"/>
              </w:rPr>
              <w:t>€6.17m</w:t>
            </w:r>
          </w:p>
        </w:tc>
      </w:tr>
      <w:tr>
        <w:tc>
          <w:tcPr>
            <w:tcW w:type="dxa" w:w="2340"/>
          </w:tcPr>
          <w:p>
            <w:r/>
            <w:r>
              <w:rPr>
                <w:rFonts w:ascii="Arial" w:hAnsi="Arial"/>
                <w:sz w:val="20"/>
              </w:rPr>
              <w:t>Transient (&lt;20%)</w:t>
            </w:r>
          </w:p>
        </w:tc>
        <w:tc>
          <w:tcPr>
            <w:tcW w:type="dxa" w:w="2340"/>
          </w:tcPr>
          <w:p>
            <w:r/>
            <w:r>
              <w:rPr>
                <w:rFonts w:ascii="Arial" w:hAnsi="Arial"/>
                <w:sz w:val="20"/>
              </w:rPr>
              <w:t>47</w:t>
            </w:r>
          </w:p>
        </w:tc>
        <w:tc>
          <w:tcPr>
            <w:tcW w:type="dxa" w:w="2340"/>
          </w:tcPr>
          <w:p>
            <w:r/>
            <w:r>
              <w:rPr>
                <w:rFonts w:ascii="Arial" w:hAnsi="Arial"/>
                <w:sz w:val="20"/>
              </w:rPr>
              <w:t>48.5%</w:t>
            </w:r>
          </w:p>
        </w:tc>
        <w:tc>
          <w:tcPr>
            <w:tcW w:type="dxa" w:w="2340"/>
          </w:tcPr>
          <w:p>
            <w:r/>
            <w:r>
              <w:rPr>
                <w:rFonts w:ascii="Arial" w:hAnsi="Arial"/>
                <w:sz w:val="20"/>
              </w:rPr>
              <w:t>€6.27m</w:t>
            </w:r>
          </w:p>
        </w:tc>
      </w:tr>
    </w:tbl>
    <w:p/>
    <w:p>
      <w:r>
        <w:drawing>
          <wp:inline xmlns:a="http://schemas.openxmlformats.org/drawingml/2006/main" xmlns:pic="http://schemas.openxmlformats.org/drawingml/2006/picture">
            <wp:extent cx="5486400" cy="2455291"/>
            <wp:docPr id="10" name="Picture 10"/>
            <wp:cNvGraphicFramePr>
              <a:graphicFrameLocks noChangeAspect="1"/>
            </wp:cNvGraphicFramePr>
            <a:graphic>
              <a:graphicData uri="http://schemas.openxmlformats.org/drawingml/2006/picture">
                <pic:pic>
                  <pic:nvPicPr>
                    <pic:cNvPr id="0" name="iter3_durable_vs_transient_trajectories.png"/>
                    <pic:cNvPicPr/>
                  </pic:nvPicPr>
                  <pic:blipFill>
                    <a:blip r:embed="rId18"/>
                    <a:stretch>
                      <a:fillRect/>
                    </a:stretch>
                  </pic:blipFill>
                  <pic:spPr>
                    <a:xfrm>
                      <a:off x="0" y="0"/>
                      <a:ext cx="5486400" cy="2455291"/>
                    </a:xfrm>
                    <a:prstGeom prst="rect"/>
                  </pic:spPr>
                </pic:pic>
              </a:graphicData>
            </a:graphic>
          </wp:inline>
        </w:drawing>
      </w:r>
    </w:p>
    <w:p>
      <w:r>
        <w:t>The dominant finding is that nearly half of all New Entrant models by count — and the plurality by LTM23 revenue — are Transient. The Durable cohort, while generating meaningful revenue (€4.60m), is populated by only 18 models, confirming that sustained demand following launch is the exception rather than the norm.</w:t>
      </w:r>
    </w:p>
    <w:p>
      <w:r>
        <w:t xml:space="preserve">A critical analytical finding is the </w:t>
      </w:r>
      <w:r>
        <w:rPr>
          <w:b/>
        </w:rPr>
        <w:t>failure of conventional predictors of durability</w:t>
      </w:r>
      <w:r>
        <w:t>. Neither launch ASP (Pearson r = –0.087) nor launch velocity / M1 revenue (Pearson r = +0.119) exhibits a meaningful linear relationship with post-peak retention. This is commercially significant: the business cannot use price tier or initial order velocity as reliable signals for which models to invest in post-launch.</w:t>
      </w:r>
    </w:p>
    <w:p>
      <w:r>
        <w:drawing>
          <wp:inline xmlns:a="http://schemas.openxmlformats.org/drawingml/2006/main" xmlns:pic="http://schemas.openxmlformats.org/drawingml/2006/picture">
            <wp:extent cx="5486400" cy="2455291"/>
            <wp:docPr id="11" name="Picture 11"/>
            <wp:cNvGraphicFramePr>
              <a:graphicFrameLocks noChangeAspect="1"/>
            </wp:cNvGraphicFramePr>
            <a:graphic>
              <a:graphicData uri="http://schemas.openxmlformats.org/drawingml/2006/picture">
                <pic:pic>
                  <pic:nvPicPr>
                    <pic:cNvPr id="0" name="iter3_durability_scatter_asp_velocity.png"/>
                    <pic:cNvPicPr/>
                  </pic:nvPicPr>
                  <pic:blipFill>
                    <a:blip r:embed="rId19"/>
                    <a:stretch>
                      <a:fillRect/>
                    </a:stretch>
                  </pic:blipFill>
                  <pic:spPr>
                    <a:xfrm>
                      <a:off x="0" y="0"/>
                      <a:ext cx="5486400" cy="2455291"/>
                    </a:xfrm>
                    <a:prstGeom prst="rect"/>
                  </pic:spPr>
                </pic:pic>
              </a:graphicData>
            </a:graphic>
          </wp:inline>
        </w:drawing>
      </w:r>
    </w:p>
    <w:p>
      <w:r>
        <w:t xml:space="preserve">More unexpectedly, the relationship between ASP tier and durability is </w:t>
      </w:r>
      <w:r>
        <w:rPr>
          <w:b/>
        </w:rPr>
        <w:t>inverse</w:t>
      </w:r>
      <w:r>
        <w:t>: the lowest ASP quartile (average €23) produces a Durable rate of 36%, while the highest ASP quartile (average €60) yields only 16.7%. The top durable New Entrant models — SEOUL (€926k LTM23, 85% retention at +3m), MILWAUKEE (€729k), and ATLANTIC CITY (€445k) — cluster at ASPs of approximately €31–37, consistent with the Entry and Lower-Mid tiers.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046A38"/>
          </w:tcPr>
          <w:p>
            <w:r>
              <w:rPr>
                <w:b/>
                <w:color w:val="FFFFFF"/>
              </w:rPr>
            </w:r>
            <w:r>
              <w:rPr>
                <w:rFonts w:ascii="Arial" w:hAnsi="Arial"/>
                <w:b/>
                <w:color w:val="FFFFFF"/>
                <w:sz w:val="20"/>
              </w:rPr>
              <w:t>ASP Quartile</w:t>
            </w:r>
          </w:p>
        </w:tc>
        <w:tc>
          <w:tcPr>
            <w:tcW w:type="dxa" w:w="2340"/>
            <w:shd w:val="clear" w:color="auto" w:fill="046A38"/>
          </w:tcPr>
          <w:p>
            <w:r>
              <w:rPr>
                <w:b/>
                <w:color w:val="FFFFFF"/>
              </w:rPr>
            </w:r>
            <w:r>
              <w:rPr>
                <w:rFonts w:ascii="Arial" w:hAnsi="Arial"/>
                <w:b/>
                <w:color w:val="FFFFFF"/>
                <w:sz w:val="20"/>
              </w:rPr>
              <w:t>Avg ASP</w:t>
            </w:r>
          </w:p>
        </w:tc>
        <w:tc>
          <w:tcPr>
            <w:tcW w:type="dxa" w:w="2340"/>
            <w:shd w:val="clear" w:color="auto" w:fill="046A38"/>
          </w:tcPr>
          <w:p>
            <w:r>
              <w:rPr>
                <w:b/>
                <w:color w:val="FFFFFF"/>
              </w:rPr>
            </w:r>
            <w:r>
              <w:rPr>
                <w:rFonts w:ascii="Arial" w:hAnsi="Arial"/>
                <w:b/>
                <w:color w:val="FFFFFF"/>
                <w:sz w:val="20"/>
              </w:rPr>
              <w:t>Model Count</w:t>
            </w:r>
          </w:p>
        </w:tc>
        <w:tc>
          <w:tcPr>
            <w:tcW w:type="dxa" w:w="2340"/>
            <w:shd w:val="clear" w:color="auto" w:fill="046A38"/>
          </w:tcPr>
          <w:p>
            <w:r>
              <w:rPr>
                <w:b/>
                <w:color w:val="FFFFFF"/>
              </w:rPr>
            </w:r>
            <w:r>
              <w:rPr>
                <w:rFonts w:ascii="Arial" w:hAnsi="Arial"/>
                <w:b/>
                <w:color w:val="FFFFFF"/>
                <w:sz w:val="20"/>
              </w:rPr>
              <w:t>% Durable</w:t>
            </w:r>
          </w:p>
        </w:tc>
      </w:tr>
      <w:tr>
        <w:tc>
          <w:tcPr>
            <w:tcW w:type="dxa" w:w="2340"/>
          </w:tcPr>
          <w:p>
            <w:r/>
            <w:r>
              <w:rPr>
                <w:rFonts w:ascii="Arial" w:hAnsi="Arial"/>
                <w:sz w:val="20"/>
              </w:rPr>
              <w:t>Q1 (lowest)</w:t>
            </w:r>
          </w:p>
        </w:tc>
        <w:tc>
          <w:tcPr>
            <w:tcW w:type="dxa" w:w="2340"/>
          </w:tcPr>
          <w:p>
            <w:r/>
            <w:r>
              <w:rPr>
                <w:rFonts w:ascii="Arial" w:hAnsi="Arial"/>
                <w:sz w:val="20"/>
              </w:rPr>
              <w:t>€23</w:t>
            </w:r>
          </w:p>
        </w:tc>
        <w:tc>
          <w:tcPr>
            <w:tcW w:type="dxa" w:w="2340"/>
          </w:tcPr>
          <w:p>
            <w:r/>
            <w:r>
              <w:rPr>
                <w:rFonts w:ascii="Arial" w:hAnsi="Arial"/>
                <w:sz w:val="20"/>
              </w:rPr>
              <w:t>25</w:t>
            </w:r>
          </w:p>
        </w:tc>
        <w:tc>
          <w:tcPr>
            <w:tcW w:type="dxa" w:w="2340"/>
          </w:tcPr>
          <w:p>
            <w:r/>
            <w:r>
              <w:rPr>
                <w:rFonts w:ascii="Arial" w:hAnsi="Arial"/>
                <w:sz w:val="20"/>
              </w:rPr>
              <w:t>36.0%</w:t>
            </w:r>
          </w:p>
        </w:tc>
      </w:tr>
      <w:tr>
        <w:tc>
          <w:tcPr>
            <w:tcW w:type="dxa" w:w="2340"/>
          </w:tcPr>
          <w:p>
            <w:r/>
            <w:r>
              <w:rPr>
                <w:rFonts w:ascii="Arial" w:hAnsi="Arial"/>
                <w:sz w:val="20"/>
              </w:rPr>
              <w:t>Q2</w:t>
            </w:r>
          </w:p>
        </w:tc>
        <w:tc>
          <w:tcPr>
            <w:tcW w:type="dxa" w:w="2340"/>
          </w:tcPr>
          <w:p>
            <w:r/>
            <w:r>
              <w:rPr>
                <w:rFonts w:ascii="Arial" w:hAnsi="Arial"/>
                <w:sz w:val="20"/>
              </w:rPr>
              <w:t>€39</w:t>
            </w:r>
          </w:p>
        </w:tc>
        <w:tc>
          <w:tcPr>
            <w:tcW w:type="dxa" w:w="2340"/>
          </w:tcPr>
          <w:p>
            <w:r/>
            <w:r>
              <w:rPr>
                <w:rFonts w:ascii="Arial" w:hAnsi="Arial"/>
                <w:sz w:val="20"/>
              </w:rPr>
              <w:t>24</w:t>
            </w:r>
          </w:p>
        </w:tc>
        <w:tc>
          <w:tcPr>
            <w:tcW w:type="dxa" w:w="2340"/>
          </w:tcPr>
          <w:p>
            <w:r/>
            <w:r>
              <w:rPr>
                <w:rFonts w:ascii="Arial" w:hAnsi="Arial"/>
                <w:sz w:val="20"/>
              </w:rPr>
              <w:t>8.3%</w:t>
            </w:r>
          </w:p>
        </w:tc>
      </w:tr>
      <w:tr>
        <w:tc>
          <w:tcPr>
            <w:tcW w:type="dxa" w:w="2340"/>
          </w:tcPr>
          <w:p>
            <w:r/>
            <w:r>
              <w:rPr>
                <w:rFonts w:ascii="Arial" w:hAnsi="Arial"/>
                <w:sz w:val="20"/>
              </w:rPr>
              <w:t>Q3</w:t>
            </w:r>
          </w:p>
        </w:tc>
        <w:tc>
          <w:tcPr>
            <w:tcW w:type="dxa" w:w="2340"/>
          </w:tcPr>
          <w:p>
            <w:r/>
            <w:r>
              <w:rPr>
                <w:rFonts w:ascii="Arial" w:hAnsi="Arial"/>
                <w:sz w:val="20"/>
              </w:rPr>
              <w:t>€44</w:t>
            </w:r>
          </w:p>
        </w:tc>
        <w:tc>
          <w:tcPr>
            <w:tcW w:type="dxa" w:w="2340"/>
          </w:tcPr>
          <w:p>
            <w:r/>
            <w:r>
              <w:rPr>
                <w:rFonts w:ascii="Arial" w:hAnsi="Arial"/>
                <w:sz w:val="20"/>
              </w:rPr>
              <w:t>24</w:t>
            </w:r>
          </w:p>
        </w:tc>
        <w:tc>
          <w:tcPr>
            <w:tcW w:type="dxa" w:w="2340"/>
          </w:tcPr>
          <w:p>
            <w:r/>
            <w:r>
              <w:rPr>
                <w:rFonts w:ascii="Arial" w:hAnsi="Arial"/>
                <w:sz w:val="20"/>
              </w:rPr>
              <w:t>12.5%</w:t>
            </w:r>
          </w:p>
        </w:tc>
      </w:tr>
      <w:tr>
        <w:tc>
          <w:tcPr>
            <w:tcW w:type="dxa" w:w="2340"/>
          </w:tcPr>
          <w:p>
            <w:r/>
            <w:r>
              <w:rPr>
                <w:rFonts w:ascii="Arial" w:hAnsi="Arial"/>
                <w:sz w:val="20"/>
              </w:rPr>
              <w:t>Q4 (highest)</w:t>
            </w:r>
          </w:p>
        </w:tc>
        <w:tc>
          <w:tcPr>
            <w:tcW w:type="dxa" w:w="2340"/>
          </w:tcPr>
          <w:p>
            <w:r/>
            <w:r>
              <w:rPr>
                <w:rFonts w:ascii="Arial" w:hAnsi="Arial"/>
                <w:sz w:val="20"/>
              </w:rPr>
              <w:t>€60</w:t>
            </w:r>
          </w:p>
        </w:tc>
        <w:tc>
          <w:tcPr>
            <w:tcW w:type="dxa" w:w="2340"/>
          </w:tcPr>
          <w:p>
            <w:r/>
            <w:r>
              <w:rPr>
                <w:rFonts w:ascii="Arial" w:hAnsi="Arial"/>
                <w:sz w:val="20"/>
              </w:rPr>
              <w:t>24</w:t>
            </w:r>
          </w:p>
        </w:tc>
        <w:tc>
          <w:tcPr>
            <w:tcW w:type="dxa" w:w="2340"/>
          </w:tcPr>
          <w:p>
            <w:r/>
            <w:r>
              <w:rPr>
                <w:rFonts w:ascii="Arial" w:hAnsi="Arial"/>
                <w:sz w:val="20"/>
              </w:rPr>
              <w:t>16.7%</w:t>
            </w:r>
          </w:p>
        </w:tc>
      </w:tr>
    </w:tbl>
    <w:p/>
    <w:p>
      <w:r>
        <w:drawing>
          <wp:inline xmlns:a="http://schemas.openxmlformats.org/drawingml/2006/main" xmlns:pic="http://schemas.openxmlformats.org/drawingml/2006/picture">
            <wp:extent cx="5486400" cy="2107496"/>
            <wp:docPr id="12" name="Picture 12"/>
            <wp:cNvGraphicFramePr>
              <a:graphicFrameLocks noChangeAspect="1"/>
            </wp:cNvGraphicFramePr>
            <a:graphic>
              <a:graphicData uri="http://schemas.openxmlformats.org/drawingml/2006/picture">
                <pic:pic>
                  <pic:nvPicPr>
                    <pic:cNvPr id="0" name="iter3_durability_by_tier.png"/>
                    <pic:cNvPicPr/>
                  </pic:nvPicPr>
                  <pic:blipFill>
                    <a:blip r:embed="rId20"/>
                    <a:stretch>
                      <a:fillRect/>
                    </a:stretch>
                  </pic:blipFill>
                  <pic:spPr>
                    <a:xfrm>
                      <a:off x="0" y="0"/>
                      <a:ext cx="5486400" cy="2107496"/>
                    </a:xfrm>
                    <a:prstGeom prst="rect"/>
                  </pic:spPr>
                </pic:pic>
              </a:graphicData>
            </a:graphic>
          </wp:inline>
        </w:drawing>
      </w:r>
    </w:p>
    <w:p>
      <w:r>
        <w:t>This counterintuitive result suggests that lower-priced models may generate genuine, repeatable consumer demand at accessible price points, while higher-priced models may be purchased speculatively by wholesale accounts and fail to generate sustained end-consumer pull. Regardless of the underlying mechanism, the absence of a reliable pre-launch durability predictor represents a significant gap in the company's ability to manage its product portfolio strategically.</w:t>
      </w:r>
    </w:p>
    <w:p>
      <w:r>
        <w:t>The top Transient models — EDINBURGH (€516k LTM23, 18% retention at +3m), GREENLAND (€247k, 4% retention), and GRAND PLACE (€227k, 10% retention) — illustrate the pattern vividly: each generated meaningful initial sell-in revenue followed by near-complete demand collapse, with retention at +6 months effectively zero.</w:t>
      </w:r>
    </w:p>
    <w:p/>
    <w:p>
      <w:pPr>
        <w:pStyle w:val="Heading2"/>
      </w:pPr>
      <w:r>
        <w:rPr>
          <w:rFonts w:ascii="Arial" w:hAnsi="Arial"/>
          <w:color w:val="26890D"/>
        </w:rPr>
        <w:t>Section 3: Wholesale Client Dynamics &amp; Concentration</w:t>
      </w:r>
    </w:p>
    <w:p>
      <w:pPr>
        <w:pStyle w:val="Heading3"/>
      </w:pPr>
      <w:r>
        <w:rPr>
          <w:rFonts w:ascii="Arial" w:hAnsi="Arial"/>
          <w:color w:val="26890D"/>
        </w:rPr>
        <w:t>3.1 Client Base Growth and Cohort Retention</w:t>
      </w:r>
    </w:p>
    <w:p>
      <w:r/>
      <w:r>
        <w:rPr>
          <w:b/>
        </w:rPr>
        <w:t>Basis of Preparation.</w:t>
      </w:r>
      <w:r>
        <w:t xml:space="preserve"> Wholesale channel analysis was conducted by isolating all transactions flagged as *Wholesales* in the Canal field. Client cohorts were defined by the first fiscal year in which a client recorded positive revenue (FY2021 cohort, FY2022 cohort, LTM23 new clients). Cohort retention rates were computed as the proportion of clients from a given cohort that recorded at least one positive transaction in each subsequent period. New-versus-returning client revenue was decomposed by identifying clients present in both LTM22 and LTM23 (returning) versus those appearing for the first time in LTM23 (new). The Herfindahl-Hirschman Index (HHI) was calculated as the sum of squared revenue share fractions across all wholesale clients in each period; a lower HHI indicates a more dispersed, less concentrated client base.</w:t>
      </w:r>
    </w:p>
    <w:p>
      <w:r>
        <w:drawing>
          <wp:inline xmlns:a="http://schemas.openxmlformats.org/drawingml/2006/main" xmlns:pic="http://schemas.openxmlformats.org/drawingml/2006/picture">
            <wp:extent cx="5486400" cy="2342656"/>
            <wp:docPr id="13" name="Picture 13"/>
            <wp:cNvGraphicFramePr>
              <a:graphicFrameLocks noChangeAspect="1"/>
            </wp:cNvGraphicFramePr>
            <a:graphic>
              <a:graphicData uri="http://schemas.openxmlformats.org/drawingml/2006/picture">
                <pic:pic>
                  <pic:nvPicPr>
                    <pic:cNvPr id="0" name="iter7_ws_client_new_vs_returning.png"/>
                    <pic:cNvPicPr/>
                  </pic:nvPicPr>
                  <pic:blipFill>
                    <a:blip r:embed="rId21"/>
                    <a:stretch>
                      <a:fillRect/>
                    </a:stretch>
                  </pic:blipFill>
                  <pic:spPr>
                    <a:xfrm>
                      <a:off x="0" y="0"/>
                      <a:ext cx="5486400" cy="2342656"/>
                    </a:xfrm>
                    <a:prstGeom prst="rect"/>
                  </pic:spPr>
                </pic:pic>
              </a:graphicData>
            </a:graphic>
          </wp:inline>
        </w:drawing>
      </w:r>
    </w:p>
    <w:p>
      <w:r>
        <w:t>The wholesale client base has expanded from 996 accounts in FY2021 to 1,690 in LTM23, implying a CAGR of approximately +26.5%. New client acquisition has remained consistent at approximately 500–525 accounts per period. However, a number of structural metrics indicate that the quality of this expansion is deteriorating.</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046A38"/>
          </w:tcPr>
          <w:p>
            <w:r>
              <w:rPr>
                <w:b/>
                <w:color w:val="FFFFFF"/>
              </w:rPr>
            </w:r>
            <w:r>
              <w:rPr>
                <w:rFonts w:ascii="Arial" w:hAnsi="Arial"/>
                <w:b/>
                <w:color w:val="FFFFFF"/>
                <w:sz w:val="20"/>
              </w:rPr>
              <w:t>Period</w:t>
            </w:r>
          </w:p>
        </w:tc>
        <w:tc>
          <w:tcPr>
            <w:tcW w:type="dxa" w:w="1560"/>
            <w:shd w:val="clear" w:color="auto" w:fill="046A38"/>
          </w:tcPr>
          <w:p>
            <w:r>
              <w:rPr>
                <w:b/>
                <w:color w:val="FFFFFF"/>
              </w:rPr>
            </w:r>
            <w:r>
              <w:rPr>
                <w:rFonts w:ascii="Arial" w:hAnsi="Arial"/>
                <w:b/>
                <w:color w:val="FFFFFF"/>
                <w:sz w:val="20"/>
              </w:rPr>
              <w:t>WS Clients</w:t>
            </w:r>
          </w:p>
        </w:tc>
        <w:tc>
          <w:tcPr>
            <w:tcW w:type="dxa" w:w="1560"/>
            <w:shd w:val="clear" w:color="auto" w:fill="046A38"/>
          </w:tcPr>
          <w:p>
            <w:r>
              <w:rPr>
                <w:b/>
                <w:color w:val="FFFFFF"/>
              </w:rPr>
            </w:r>
            <w:r>
              <w:rPr>
                <w:rFonts w:ascii="Arial" w:hAnsi="Arial"/>
                <w:b/>
                <w:color w:val="FFFFFF"/>
                <w:sz w:val="20"/>
              </w:rPr>
              <w:t>WS Revenue</w:t>
            </w:r>
          </w:p>
        </w:tc>
        <w:tc>
          <w:tcPr>
            <w:tcW w:type="dxa" w:w="1560"/>
            <w:shd w:val="clear" w:color="auto" w:fill="046A38"/>
          </w:tcPr>
          <w:p>
            <w:r>
              <w:rPr>
                <w:b/>
                <w:color w:val="FFFFFF"/>
              </w:rPr>
            </w:r>
            <w:r>
              <w:rPr>
                <w:rFonts w:ascii="Arial" w:hAnsi="Arial"/>
                <w:b/>
                <w:color w:val="FFFFFF"/>
                <w:sz w:val="20"/>
              </w:rPr>
              <w:t>Rev/Client</w:t>
            </w:r>
          </w:p>
        </w:tc>
        <w:tc>
          <w:tcPr>
            <w:tcW w:type="dxa" w:w="1560"/>
            <w:shd w:val="clear" w:color="auto" w:fill="046A38"/>
          </w:tcPr>
          <w:p>
            <w:r>
              <w:rPr>
                <w:b/>
                <w:color w:val="FFFFFF"/>
              </w:rPr>
            </w:r>
            <w:r>
              <w:rPr>
                <w:rFonts w:ascii="Arial" w:hAnsi="Arial"/>
                <w:b/>
                <w:color w:val="FFFFFF"/>
                <w:sz w:val="20"/>
              </w:rPr>
              <w:t>New Clients</w:t>
            </w:r>
          </w:p>
        </w:tc>
        <w:tc>
          <w:tcPr>
            <w:tcW w:type="dxa" w:w="1560"/>
            <w:shd w:val="clear" w:color="auto" w:fill="046A38"/>
          </w:tcPr>
          <w:p>
            <w:r>
              <w:rPr>
                <w:b/>
                <w:color w:val="FFFFFF"/>
              </w:rPr>
            </w:r>
            <w:r>
              <w:rPr>
                <w:rFonts w:ascii="Arial" w:hAnsi="Arial"/>
                <w:b/>
                <w:color w:val="FFFFFF"/>
                <w:sz w:val="20"/>
              </w:rPr>
              <w:t>Avg Rev/New Client</w:t>
            </w:r>
          </w:p>
        </w:tc>
      </w:tr>
      <w:tr>
        <w:tc>
          <w:tcPr>
            <w:tcW w:type="dxa" w:w="1560"/>
          </w:tcPr>
          <w:p>
            <w:r/>
            <w:r>
              <w:rPr>
                <w:rFonts w:ascii="Arial" w:hAnsi="Arial"/>
                <w:sz w:val="20"/>
              </w:rPr>
              <w:t>FY2021</w:t>
            </w:r>
          </w:p>
        </w:tc>
        <w:tc>
          <w:tcPr>
            <w:tcW w:type="dxa" w:w="1560"/>
          </w:tcPr>
          <w:p>
            <w:r/>
            <w:r>
              <w:rPr>
                <w:rFonts w:ascii="Arial" w:hAnsi="Arial"/>
                <w:sz w:val="20"/>
              </w:rPr>
              <w:t>996</w:t>
            </w:r>
          </w:p>
        </w:tc>
        <w:tc>
          <w:tcPr>
            <w:tcW w:type="dxa" w:w="1560"/>
          </w:tcPr>
          <w:p>
            <w:r/>
            <w:r>
              <w:rPr>
                <w:rFonts w:ascii="Arial" w:hAnsi="Arial"/>
                <w:sz w:val="20"/>
              </w:rPr>
              <w:t>€10.9m</w:t>
            </w:r>
          </w:p>
        </w:tc>
        <w:tc>
          <w:tcPr>
            <w:tcW w:type="dxa" w:w="1560"/>
          </w:tcPr>
          <w:p>
            <w:r/>
            <w:r>
              <w:rPr>
                <w:rFonts w:ascii="Arial" w:hAnsi="Arial"/>
                <w:sz w:val="20"/>
              </w:rPr>
              <w:t>€10,941</w:t>
            </w:r>
          </w:p>
        </w:tc>
        <w:tc>
          <w:tcPr>
            <w:tcW w:type="dxa" w:w="1560"/>
          </w:tcPr>
          <w:p>
            <w:r/>
            <w:r>
              <w:rPr>
                <w:rFonts w:ascii="Arial" w:hAnsi="Arial"/>
                <w:sz w:val="20"/>
              </w:rPr>
              <w:t>—</w:t>
            </w:r>
          </w:p>
        </w:tc>
        <w:tc>
          <w:tcPr>
            <w:tcW w:type="dxa" w:w="1560"/>
          </w:tcPr>
          <w:p>
            <w:r/>
            <w:r>
              <w:rPr>
                <w:rFonts w:ascii="Arial" w:hAnsi="Arial"/>
                <w:sz w:val="20"/>
              </w:rPr>
              <w:t>—</w:t>
            </w:r>
          </w:p>
        </w:tc>
      </w:tr>
      <w:tr>
        <w:tc>
          <w:tcPr>
            <w:tcW w:type="dxa" w:w="1560"/>
          </w:tcPr>
          <w:p>
            <w:r/>
            <w:r>
              <w:rPr>
                <w:rFonts w:ascii="Arial" w:hAnsi="Arial"/>
                <w:sz w:val="20"/>
              </w:rPr>
              <w:t>FY2022</w:t>
            </w:r>
          </w:p>
        </w:tc>
        <w:tc>
          <w:tcPr>
            <w:tcW w:type="dxa" w:w="1560"/>
          </w:tcPr>
          <w:p>
            <w:r/>
            <w:r>
              <w:rPr>
                <w:rFonts w:ascii="Arial" w:hAnsi="Arial"/>
                <w:sz w:val="20"/>
              </w:rPr>
              <w:t>1,284</w:t>
            </w:r>
          </w:p>
        </w:tc>
        <w:tc>
          <w:tcPr>
            <w:tcW w:type="dxa" w:w="1560"/>
          </w:tcPr>
          <w:p>
            <w:r/>
            <w:r>
              <w:rPr>
                <w:rFonts w:ascii="Arial" w:hAnsi="Arial"/>
                <w:sz w:val="20"/>
              </w:rPr>
              <w:t>€20.1m</w:t>
            </w:r>
          </w:p>
        </w:tc>
        <w:tc>
          <w:tcPr>
            <w:tcW w:type="dxa" w:w="1560"/>
          </w:tcPr>
          <w:p>
            <w:r/>
            <w:r>
              <w:rPr>
                <w:rFonts w:ascii="Arial" w:hAnsi="Arial"/>
                <w:sz w:val="20"/>
              </w:rPr>
              <w:t>€15,670</w:t>
            </w:r>
          </w:p>
        </w:tc>
        <w:tc>
          <w:tcPr>
            <w:tcW w:type="dxa" w:w="1560"/>
          </w:tcPr>
          <w:p>
            <w:r/>
            <w:r>
              <w:rPr>
                <w:rFonts w:ascii="Arial" w:hAnsi="Arial"/>
                <w:sz w:val="20"/>
              </w:rPr>
              <w:t>507</w:t>
            </w:r>
          </w:p>
        </w:tc>
        <w:tc>
          <w:tcPr>
            <w:tcW w:type="dxa" w:w="1560"/>
          </w:tcPr>
          <w:p>
            <w:r/>
            <w:r>
              <w:rPr>
                <w:rFonts w:ascii="Arial" w:hAnsi="Arial"/>
                <w:sz w:val="20"/>
              </w:rPr>
              <w:t>€6,883</w:t>
            </w:r>
          </w:p>
        </w:tc>
      </w:tr>
      <w:tr>
        <w:tc>
          <w:tcPr>
            <w:tcW w:type="dxa" w:w="1560"/>
          </w:tcPr>
          <w:p>
            <w:r/>
            <w:r>
              <w:rPr>
                <w:rFonts w:ascii="Arial" w:hAnsi="Arial"/>
                <w:sz w:val="20"/>
              </w:rPr>
              <w:t>LTM23</w:t>
            </w:r>
          </w:p>
        </w:tc>
        <w:tc>
          <w:tcPr>
            <w:tcW w:type="dxa" w:w="1560"/>
          </w:tcPr>
          <w:p>
            <w:r/>
            <w:r>
              <w:rPr>
                <w:rFonts w:ascii="Arial" w:hAnsi="Arial"/>
                <w:sz w:val="20"/>
              </w:rPr>
              <w:t>1,690</w:t>
            </w:r>
          </w:p>
        </w:tc>
        <w:tc>
          <w:tcPr>
            <w:tcW w:type="dxa" w:w="1560"/>
          </w:tcPr>
          <w:p>
            <w:r/>
            <w:r>
              <w:rPr>
                <w:rFonts w:ascii="Arial" w:hAnsi="Arial"/>
                <w:sz w:val="20"/>
              </w:rPr>
              <w:t>€21.4m</w:t>
            </w:r>
          </w:p>
        </w:tc>
        <w:tc>
          <w:tcPr>
            <w:tcW w:type="dxa" w:w="1560"/>
          </w:tcPr>
          <w:p>
            <w:r/>
            <w:r>
              <w:rPr>
                <w:rFonts w:ascii="Arial" w:hAnsi="Arial"/>
                <w:sz w:val="20"/>
              </w:rPr>
              <w:t>€12,680</w:t>
            </w:r>
          </w:p>
        </w:tc>
        <w:tc>
          <w:tcPr>
            <w:tcW w:type="dxa" w:w="1560"/>
          </w:tcPr>
          <w:p>
            <w:r/>
            <w:r>
              <w:rPr>
                <w:rFonts w:ascii="Arial" w:hAnsi="Arial"/>
                <w:sz w:val="20"/>
              </w:rPr>
              <w:t>525</w:t>
            </w:r>
          </w:p>
        </w:tc>
        <w:tc>
          <w:tcPr>
            <w:tcW w:type="dxa" w:w="1560"/>
          </w:tcPr>
          <w:p>
            <w:r/>
            <w:r>
              <w:rPr>
                <w:rFonts w:ascii="Arial" w:hAnsi="Arial"/>
                <w:sz w:val="20"/>
              </w:rPr>
              <w:t>€3,810</w:t>
            </w:r>
          </w:p>
        </w:tc>
      </w:tr>
      <w:tr>
        <w:tc>
          <w:tcPr>
            <w:tcW w:type="dxa" w:w="1560"/>
          </w:tcPr>
          <w:p>
            <w:r/>
            <w:r>
              <w:rPr>
                <w:rFonts w:ascii="Arial" w:hAnsi="Arial"/>
                <w:sz w:val="20"/>
              </w:rPr>
              <w:t>CAGR</w:t>
            </w:r>
          </w:p>
        </w:tc>
        <w:tc>
          <w:tcPr>
            <w:tcW w:type="dxa" w:w="1560"/>
          </w:tcPr>
          <w:p>
            <w:r/>
            <w:r>
              <w:rPr>
                <w:rFonts w:ascii="Arial" w:hAnsi="Arial"/>
                <w:sz w:val="20"/>
              </w:rPr>
              <w:t>+26.5%</w:t>
            </w:r>
          </w:p>
        </w:tc>
        <w:tc>
          <w:tcPr>
            <w:tcW w:type="dxa" w:w="1560"/>
          </w:tcPr>
          <w:p>
            <w:r/>
            <w:r>
              <w:rPr>
                <w:rFonts w:ascii="Arial" w:hAnsi="Arial"/>
                <w:sz w:val="20"/>
              </w:rPr>
            </w:r>
          </w:p>
        </w:tc>
        <w:tc>
          <w:tcPr>
            <w:tcW w:type="dxa" w:w="1560"/>
          </w:tcPr>
          <w:p>
            <w:r/>
            <w:r>
              <w:rPr>
                <w:rFonts w:ascii="Arial" w:hAnsi="Arial"/>
                <w:sz w:val="20"/>
              </w:rPr>
            </w:r>
          </w:p>
        </w:tc>
        <w:tc>
          <w:tcPr>
            <w:tcW w:type="dxa" w:w="1560"/>
          </w:tcPr>
          <w:p>
            <w:r/>
            <w:r>
              <w:rPr>
                <w:rFonts w:ascii="Arial" w:hAnsi="Arial"/>
                <w:sz w:val="20"/>
              </w:rPr>
            </w:r>
          </w:p>
        </w:tc>
        <w:tc>
          <w:tcPr>
            <w:tcW w:type="dxa" w:w="1560"/>
          </w:tcPr>
          <w:p>
            <w:r/>
            <w:r>
              <w:rPr>
                <w:rFonts w:ascii="Arial" w:hAnsi="Arial"/>
                <w:sz w:val="20"/>
              </w:rPr>
            </w:r>
          </w:p>
        </w:tc>
      </w:tr>
    </w:tbl>
    <w:p/>
    <w:p>
      <w:r>
        <w:t>The most significant structural shift is the reversal of like-for-like (LfL) growth among returning wholesale clients. In FY2021→FY2022, the 777 returning clients grew their aggregate spend by +62.1% — high-quality, organic revenue expansion driven by clients ordering more product. In LTM23, this dynamic reversed sharply: returning clients recorded a LfL decline of –1.6% (from approximately €19.74m to €19.42m). The headline LTM23 wholesale growth of +6.5% (€+1.31m) was entirely generated by 525 new client additions contributing approximately €2.00m, while the returning base contracted by approximately €0.32m.</w:t>
      </w:r>
    </w:p>
    <w:p>
      <w:r>
        <w:t>The decline in average revenue per new wholesale client — from €6,883 in FY2022 to €3,810 in LTM23 — indicates that new accounts being onboarded are smaller, lower-tier distributors with limited ordering capacity. This is consistent with a distribution strategy that has largely saturated its highest-quality wholesale channels and is now expanding into a long tail of marginal accounts.</w:t>
      </w:r>
    </w:p>
    <w:p>
      <w:pPr>
        <w:pStyle w:val="Heading3"/>
      </w:pPr>
      <w:r>
        <w:rPr>
          <w:rFonts w:ascii="Arial" w:hAnsi="Arial"/>
          <w:color w:val="26890D"/>
        </w:rPr>
        <w:t>3.2 Cohort Retention and Attrition</w:t>
      </w:r>
    </w:p>
    <w:p>
      <w:r>
        <w:drawing>
          <wp:inline xmlns:a="http://schemas.openxmlformats.org/drawingml/2006/main" xmlns:pic="http://schemas.openxmlformats.org/drawingml/2006/picture">
            <wp:extent cx="5486400" cy="2337386"/>
            <wp:docPr id="14" name="Picture 14"/>
            <wp:cNvGraphicFramePr>
              <a:graphicFrameLocks noChangeAspect="1"/>
            </wp:cNvGraphicFramePr>
            <a:graphic>
              <a:graphicData uri="http://schemas.openxmlformats.org/drawingml/2006/picture">
                <pic:pic>
                  <pic:nvPicPr>
                    <pic:cNvPr id="0" name="iter7_ws_cohort_retention.png"/>
                    <pic:cNvPicPr/>
                  </pic:nvPicPr>
                  <pic:blipFill>
                    <a:blip r:embed="rId22"/>
                    <a:stretch>
                      <a:fillRect/>
                    </a:stretch>
                  </pic:blipFill>
                  <pic:spPr>
                    <a:xfrm>
                      <a:off x="0" y="0"/>
                      <a:ext cx="5486400" cy="2337386"/>
                    </a:xfrm>
                    <a:prstGeom prst="rect"/>
                  </pic:spPr>
                </pic:pic>
              </a:graphicData>
            </a:graphic>
          </wp:inline>
        </w:drawing>
      </w:r>
    </w:p>
    <w:p>
      <w:r>
        <w:t>The 2021 cohort (clients first active in FY2021) showed 78% retention in FY2022, a healthy figure reflecting strong account activation during the period of peak product momentum. By LTM23, however, retention for this same cohort had declined to 53% — a 25-percentage-point deterioration over two years. This accelerating attrition suggests that a meaningful portion of wholesale relationships established during the FY2021–FY2022 boom cycle are not proving durable, consistent with the broader pattern of NE model decay discussed in Section 2.</w:t>
      </w:r>
    </w:p>
    <w:p>
      <w:r>
        <w:t>Lost-client revenue is not, in itself, a catastrophic risk: churn-related revenue losses were only €0.64m in FY2022 and €0.38m in LTM23, and the volume of clients exiting the active base in any given period is more than offset by new account additions. However, the declining trajectory of the 2021 cohort retention rate merits monitoring as an early indicator of structural relationship erosion.</w:t>
      </w:r>
    </w:p>
    <w:p>
      <w:pPr>
        <w:pStyle w:val="Heading3"/>
      </w:pPr>
      <w:r>
        <w:rPr>
          <w:rFonts w:ascii="Arial" w:hAnsi="Arial"/>
          <w:color w:val="26890D"/>
        </w:rPr>
        <w:t>3.3 Revenue Concentration</w:t>
      </w:r>
    </w:p>
    <w:p>
      <w:r>
        <w:drawing>
          <wp:inline xmlns:a="http://schemas.openxmlformats.org/drawingml/2006/main" xmlns:pic="http://schemas.openxmlformats.org/drawingml/2006/picture">
            <wp:extent cx="5486400" cy="2337386"/>
            <wp:docPr id="15" name="Picture 15"/>
            <wp:cNvGraphicFramePr>
              <a:graphicFrameLocks noChangeAspect="1"/>
            </wp:cNvGraphicFramePr>
            <a:graphic>
              <a:graphicData uri="http://schemas.openxmlformats.org/drawingml/2006/picture">
                <pic:pic>
                  <pic:nvPicPr>
                    <pic:cNvPr id="0" name="iter7_ws_concentration_lorenz.png"/>
                    <pic:cNvPicPr/>
                  </pic:nvPicPr>
                  <pic:blipFill>
                    <a:blip r:embed="rId23"/>
                    <a:stretch>
                      <a:fillRect/>
                    </a:stretch>
                  </pic:blipFill>
                  <pic:spPr>
                    <a:xfrm>
                      <a:off x="0" y="0"/>
                      <a:ext cx="5486400" cy="2337386"/>
                    </a:xfrm>
                    <a:prstGeom prst="rect"/>
                  </pic:spPr>
                </pic:pic>
              </a:graphicData>
            </a:graphic>
          </wp:inline>
        </w:drawing>
      </w:r>
    </w:p>
    <w:p>
      <w:r>
        <w:t>On a positive note, the HHI has declined steadily from 0.0140 in FY2021 to 0.0106 in LTM23, indicating a progressively more distributed client base and a reduction in single-client concentration risk. No individual wholesale client accounts for more than 5–8% of total wholesale revenue in any period, and the top model across the entire portfolio commands no more than 3.8% revenue share — confirming that there is no catastrophic single-account or single-SKU dependency.</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046A38"/>
          </w:tcPr>
          <w:p>
            <w:r>
              <w:rPr>
                <w:b/>
                <w:color w:val="FFFFFF"/>
              </w:rPr>
            </w:r>
            <w:r>
              <w:rPr>
                <w:rFonts w:ascii="Arial" w:hAnsi="Arial"/>
                <w:b/>
                <w:color w:val="FFFFFF"/>
                <w:sz w:val="20"/>
              </w:rPr>
              <w:t>Metric</w:t>
            </w:r>
          </w:p>
        </w:tc>
        <w:tc>
          <w:tcPr>
            <w:tcW w:type="dxa" w:w="2340"/>
            <w:shd w:val="clear" w:color="auto" w:fill="046A38"/>
          </w:tcPr>
          <w:p>
            <w:r>
              <w:rPr>
                <w:b/>
                <w:color w:val="FFFFFF"/>
              </w:rPr>
            </w:r>
            <w:r>
              <w:rPr>
                <w:rFonts w:ascii="Arial" w:hAnsi="Arial"/>
                <w:b/>
                <w:color w:val="FFFFFF"/>
                <w:sz w:val="20"/>
              </w:rPr>
              <w:t>FY2021</w:t>
            </w:r>
          </w:p>
        </w:tc>
        <w:tc>
          <w:tcPr>
            <w:tcW w:type="dxa" w:w="2340"/>
            <w:shd w:val="clear" w:color="auto" w:fill="046A38"/>
          </w:tcPr>
          <w:p>
            <w:r>
              <w:rPr>
                <w:b/>
                <w:color w:val="FFFFFF"/>
              </w:rPr>
            </w:r>
            <w:r>
              <w:rPr>
                <w:rFonts w:ascii="Arial" w:hAnsi="Arial"/>
                <w:b/>
                <w:color w:val="FFFFFF"/>
                <w:sz w:val="20"/>
              </w:rPr>
              <w:t>FY2022</w:t>
            </w:r>
          </w:p>
        </w:tc>
        <w:tc>
          <w:tcPr>
            <w:tcW w:type="dxa" w:w="2340"/>
            <w:shd w:val="clear" w:color="auto" w:fill="046A38"/>
          </w:tcPr>
          <w:p>
            <w:r>
              <w:rPr>
                <w:b/>
                <w:color w:val="FFFFFF"/>
              </w:rPr>
            </w:r>
            <w:r>
              <w:rPr>
                <w:rFonts w:ascii="Arial" w:hAnsi="Arial"/>
                <w:b/>
                <w:color w:val="FFFFFF"/>
                <w:sz w:val="20"/>
              </w:rPr>
              <w:t>LTM23</w:t>
            </w:r>
          </w:p>
        </w:tc>
      </w:tr>
      <w:tr>
        <w:tc>
          <w:tcPr>
            <w:tcW w:type="dxa" w:w="2340"/>
          </w:tcPr>
          <w:p>
            <w:r/>
            <w:r>
              <w:rPr>
                <w:rFonts w:ascii="Arial" w:hAnsi="Arial"/>
                <w:sz w:val="20"/>
              </w:rPr>
              <w:t>WS HHI</w:t>
            </w:r>
          </w:p>
        </w:tc>
        <w:tc>
          <w:tcPr>
            <w:tcW w:type="dxa" w:w="2340"/>
          </w:tcPr>
          <w:p>
            <w:r/>
            <w:r>
              <w:rPr>
                <w:rFonts w:ascii="Arial" w:hAnsi="Arial"/>
                <w:sz w:val="20"/>
              </w:rPr>
              <w:t>0.0140</w:t>
            </w:r>
          </w:p>
        </w:tc>
        <w:tc>
          <w:tcPr>
            <w:tcW w:type="dxa" w:w="2340"/>
          </w:tcPr>
          <w:p>
            <w:r/>
            <w:r>
              <w:rPr>
                <w:rFonts w:ascii="Arial" w:hAnsi="Arial"/>
                <w:sz w:val="20"/>
              </w:rPr>
              <w:t>0.0123</w:t>
            </w:r>
          </w:p>
        </w:tc>
        <w:tc>
          <w:tcPr>
            <w:tcW w:type="dxa" w:w="2340"/>
          </w:tcPr>
          <w:p>
            <w:r/>
            <w:r>
              <w:rPr>
                <w:rFonts w:ascii="Arial" w:hAnsi="Arial"/>
                <w:sz w:val="20"/>
              </w:rPr>
              <w:t>0.0106</w:t>
            </w:r>
          </w:p>
        </w:tc>
      </w:tr>
      <w:tr>
        <w:tc>
          <w:tcPr>
            <w:tcW w:type="dxa" w:w="2340"/>
          </w:tcPr>
          <w:p>
            <w:r/>
            <w:r>
              <w:rPr>
                <w:rFonts w:ascii="Arial" w:hAnsi="Arial"/>
                <w:sz w:val="20"/>
              </w:rPr>
              <w:t>Top 1 client share (WS)</w:t>
            </w:r>
          </w:p>
        </w:tc>
        <w:tc>
          <w:tcPr>
            <w:tcW w:type="dxa" w:w="2340"/>
          </w:tcPr>
          <w:p>
            <w:r/>
            <w:r>
              <w:rPr>
                <w:rFonts w:ascii="Arial" w:hAnsi="Arial"/>
                <w:sz w:val="20"/>
              </w:rPr>
              <w:t>7.4%</w:t>
            </w:r>
          </w:p>
        </w:tc>
        <w:tc>
          <w:tcPr>
            <w:tcW w:type="dxa" w:w="2340"/>
          </w:tcPr>
          <w:p>
            <w:r/>
            <w:r>
              <w:rPr>
                <w:rFonts w:ascii="Arial" w:hAnsi="Arial"/>
                <w:sz w:val="20"/>
              </w:rPr>
              <w:t>5.2%</w:t>
            </w:r>
          </w:p>
        </w:tc>
        <w:tc>
          <w:tcPr>
            <w:tcW w:type="dxa" w:w="2340"/>
          </w:tcPr>
          <w:p>
            <w:r/>
            <w:r>
              <w:rPr>
                <w:rFonts w:ascii="Arial" w:hAnsi="Arial"/>
                <w:sz w:val="20"/>
              </w:rPr>
              <w:t>~4.5%</w:t>
            </w:r>
          </w:p>
        </w:tc>
      </w:tr>
      <w:tr>
        <w:tc>
          <w:tcPr>
            <w:tcW w:type="dxa" w:w="2340"/>
          </w:tcPr>
          <w:p>
            <w:r/>
            <w:r>
              <w:rPr>
                <w:rFonts w:ascii="Arial" w:hAnsi="Arial"/>
                <w:sz w:val="20"/>
              </w:rPr>
              <w:t>Top decile share (WS)</w:t>
            </w:r>
          </w:p>
        </w:tc>
        <w:tc>
          <w:tcPr>
            <w:tcW w:type="dxa" w:w="2340"/>
          </w:tcPr>
          <w:p>
            <w:r/>
            <w:r>
              <w:rPr>
                <w:rFonts w:ascii="Arial" w:hAnsi="Arial"/>
                <w:sz w:val="20"/>
              </w:rPr>
              <w:t>~69%</w:t>
            </w:r>
          </w:p>
        </w:tc>
        <w:tc>
          <w:tcPr>
            <w:tcW w:type="dxa" w:w="2340"/>
          </w:tcPr>
          <w:p>
            <w:r/>
            <w:r>
              <w:rPr>
                <w:rFonts w:ascii="Arial" w:hAnsi="Arial"/>
                <w:sz w:val="20"/>
              </w:rPr>
              <w:t>~68%</w:t>
            </w:r>
          </w:p>
        </w:tc>
        <w:tc>
          <w:tcPr>
            <w:tcW w:type="dxa" w:w="2340"/>
          </w:tcPr>
          <w:p>
            <w:r/>
            <w:r>
              <w:rPr>
                <w:rFonts w:ascii="Arial" w:hAnsi="Arial"/>
                <w:sz w:val="20"/>
              </w:rPr>
              <w:t>69.0%</w:t>
            </w:r>
          </w:p>
        </w:tc>
      </w:tr>
      <w:tr>
        <w:tc>
          <w:tcPr>
            <w:tcW w:type="dxa" w:w="2340"/>
          </w:tcPr>
          <w:p>
            <w:r/>
            <w:r>
              <w:rPr>
                <w:rFonts w:ascii="Arial" w:hAnsi="Arial"/>
                <w:sz w:val="20"/>
              </w:rPr>
              <w:t>Top 20 clients share (WS)</w:t>
            </w:r>
          </w:p>
        </w:tc>
        <w:tc>
          <w:tcPr>
            <w:tcW w:type="dxa" w:w="2340"/>
          </w:tcPr>
          <w:p>
            <w:r/>
            <w:r>
              <w:rPr>
                <w:rFonts w:ascii="Arial" w:hAnsi="Arial"/>
                <w:sz w:val="20"/>
              </w:rPr>
              <w:t>38.0%</w:t>
            </w:r>
          </w:p>
        </w:tc>
        <w:tc>
          <w:tcPr>
            <w:tcW w:type="dxa" w:w="2340"/>
          </w:tcPr>
          <w:p>
            <w:r/>
            <w:r>
              <w:rPr>
                <w:rFonts w:ascii="Arial" w:hAnsi="Arial"/>
                <w:sz w:val="20"/>
              </w:rPr>
              <w:t>39.4%</w:t>
            </w:r>
          </w:p>
        </w:tc>
        <w:tc>
          <w:tcPr>
            <w:tcW w:type="dxa" w:w="2340"/>
          </w:tcPr>
          <w:p>
            <w:r/>
            <w:r>
              <w:rPr>
                <w:rFonts w:ascii="Arial" w:hAnsi="Arial"/>
                <w:sz w:val="20"/>
              </w:rPr>
              <w:t>~38%</w:t>
            </w:r>
          </w:p>
        </w:tc>
      </w:tr>
    </w:tbl>
    <w:p/>
    <w:p>
      <w:r>
        <w:t>However, the Lorenz curve analysis confirms that concentration remains highly asymmetric at the upper end: the top decile (169 clients) commands 69% of total wholesale revenue (€14.78m), while the bottom 50% of clients contribute negligibly. This bifurcation is structurally stable but means that the business's effective wholesale relationship base is considerably narrower than the headline count of 1,690 accounts implies.</w:t>
      </w:r>
    </w:p>
    <w:p>
      <w:r>
        <w:t>Among the top 20 wholesale clients, a bifurcated performance pattern has emerged. Growing accounts — including ASH SHOE CO. (+24.2% YoY), BUY SHOES SL (+43.6%), and MODIVO (+25.6%) — have an average Stable model share of 45.7% in their basket. Declining accounts — including O MODA SCHOENEN BV (–31.2%), LOOKIERO STYLE SL (–28.0%), and FALABELLA RETAIL (–25.4%) — have an average Stable model share of only 29.9% and New Entrant shares of approximately 69.9%. The causal direction of this relationship is explored further in Section 4.</w:t>
      </w:r>
    </w:p>
    <w:p/>
    <w:p>
      <w:pPr>
        <w:pStyle w:val="Heading2"/>
      </w:pPr>
      <w:r>
        <w:rPr>
          <w:rFonts w:ascii="Arial" w:hAnsi="Arial"/>
          <w:color w:val="26890D"/>
        </w:rPr>
        <w:t>Section 4: Client Basket Composition &amp; Performance</w:t>
      </w:r>
    </w:p>
    <w:p>
      <w:pPr>
        <w:pStyle w:val="Heading3"/>
      </w:pPr>
      <w:r>
        <w:rPr>
          <w:rFonts w:ascii="Arial" w:hAnsi="Arial"/>
          <w:color w:val="26890D"/>
        </w:rPr>
        <w:t>4.1 Lifecycle Mix as a Predictor of Client Revenue Performance</w:t>
      </w:r>
    </w:p>
    <w:p>
      <w:r/>
      <w:r>
        <w:rPr>
          <w:b/>
        </w:rPr>
        <w:t>Basis of Preparation.</w:t>
      </w:r>
      <w:r>
        <w:t xml:space="preserve"> For each of the 794 returning wholesale clients active in both PLTM22 and LTM23, the share of LTM23 revenue derived from each lifecycle category (Stable, New Entrant, Bust) was computed. Clients were then ranked by their Stable% and NE% shares and divided into revenue-weighted quartiles. The weighted average YoY revenue growth rate was computed for each quartile, with each client weighted by its LTM23 revenue. An equivalent analysis was performed on NE% quartiles. Client performance groups were defined as: </w:t>
      </w:r>
      <w:r>
        <w:rPr>
          <w:b/>
        </w:rPr>
        <w:t>NE-led</w:t>
      </w:r>
      <w:r>
        <w:t xml:space="preserve"> (&gt;60% NE share), </w:t>
      </w:r>
      <w:r>
        <w:rPr>
          <w:b/>
        </w:rPr>
        <w:t>Stable-led</w:t>
      </w:r>
      <w:r>
        <w:t xml:space="preserve"> (&gt;60% Stable share), </w:t>
      </w:r>
      <w:r>
        <w:rPr>
          <w:b/>
        </w:rPr>
        <w:t>Bust-heavy</w:t>
      </w:r>
      <w:r>
        <w:t xml:space="preserve"> (&gt;40% Bust share), and </w:t>
      </w:r>
      <w:r>
        <w:rPr>
          <w:b/>
        </w:rPr>
        <w:t>Mixed</w:t>
      </w:r>
      <w:r>
        <w:t xml:space="preserve"> (remainder).</w:t>
      </w:r>
    </w:p>
    <w:p>
      <w:r>
        <w:drawing>
          <wp:inline xmlns:a="http://schemas.openxmlformats.org/drawingml/2006/main" xmlns:pic="http://schemas.openxmlformats.org/drawingml/2006/picture">
            <wp:extent cx="5486400" cy="2725819"/>
            <wp:docPr id="16" name="Picture 16"/>
            <wp:cNvGraphicFramePr>
              <a:graphicFrameLocks noChangeAspect="1"/>
            </wp:cNvGraphicFramePr>
            <a:graphic>
              <a:graphicData uri="http://schemas.openxmlformats.org/drawingml/2006/picture">
                <pic:pic>
                  <pic:nvPicPr>
                    <pic:cNvPr id="0" name="iter9_client_lifecycle_mix_analysis.png"/>
                    <pic:cNvPicPr/>
                  </pic:nvPicPr>
                  <pic:blipFill>
                    <a:blip r:embed="rId24"/>
                    <a:stretch>
                      <a:fillRect/>
                    </a:stretch>
                  </pic:blipFill>
                  <pic:spPr>
                    <a:xfrm>
                      <a:off x="0" y="0"/>
                      <a:ext cx="5486400" cy="2725819"/>
                    </a:xfrm>
                    <a:prstGeom prst="rect"/>
                  </pic:spPr>
                </pic:pic>
              </a:graphicData>
            </a:graphic>
          </wp:inline>
        </w:drawing>
      </w:r>
    </w:p>
    <w:p>
      <w:r>
        <w:t xml:space="preserve">The analysis reveals a </w:t>
      </w:r>
      <w:r>
        <w:rPr>
          <w:b/>
        </w:rPr>
        <w:t>monotonic, near-linear relationship between Stable model share and client revenue growth</w:t>
      </w:r>
      <w:r>
        <w:t xml:space="preserve"> — one of the most commercially actionable findings in this report. Wholesale clients with the highest proportion of Stable models in their baskets consistently outperform those with high NE concentrations, across all four quartiles.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046A38"/>
          </w:tcPr>
          <w:p>
            <w:r>
              <w:rPr>
                <w:b/>
                <w:color w:val="FFFFFF"/>
              </w:rPr>
            </w:r>
            <w:r>
              <w:rPr>
                <w:rFonts w:ascii="Arial" w:hAnsi="Arial"/>
                <w:b/>
                <w:color w:val="FFFFFF"/>
                <w:sz w:val="20"/>
              </w:rPr>
              <w:t>Stable% Quartile</w:t>
            </w:r>
          </w:p>
        </w:tc>
        <w:tc>
          <w:tcPr>
            <w:tcW w:type="dxa" w:w="3120"/>
            <w:shd w:val="clear" w:color="auto" w:fill="046A38"/>
          </w:tcPr>
          <w:p>
            <w:r>
              <w:rPr>
                <w:b/>
                <w:color w:val="FFFFFF"/>
              </w:rPr>
            </w:r>
            <w:r>
              <w:rPr>
                <w:rFonts w:ascii="Arial" w:hAnsi="Arial"/>
                <w:b/>
                <w:color w:val="FFFFFF"/>
                <w:sz w:val="20"/>
              </w:rPr>
              <w:t>Stable% Range</w:t>
            </w:r>
          </w:p>
        </w:tc>
        <w:tc>
          <w:tcPr>
            <w:tcW w:type="dxa" w:w="3120"/>
            <w:shd w:val="clear" w:color="auto" w:fill="046A38"/>
          </w:tcPr>
          <w:p>
            <w:r>
              <w:rPr>
                <w:b/>
                <w:color w:val="FFFFFF"/>
              </w:rPr>
            </w:r>
            <w:r>
              <w:rPr>
                <w:rFonts w:ascii="Arial" w:hAnsi="Arial"/>
                <w:b/>
                <w:color w:val="FFFFFF"/>
                <w:sz w:val="20"/>
              </w:rPr>
              <w:t>Wtd. Avg YoY Growth</w:t>
            </w:r>
          </w:p>
        </w:tc>
      </w:tr>
      <w:tr>
        <w:tc>
          <w:tcPr>
            <w:tcW w:type="dxa" w:w="3120"/>
          </w:tcPr>
          <w:p>
            <w:r/>
            <w:r>
              <w:rPr>
                <w:rFonts w:ascii="Arial" w:hAnsi="Arial"/>
                <w:sz w:val="20"/>
              </w:rPr>
              <w:t>Q1 (lowest)</w:t>
            </w:r>
          </w:p>
        </w:tc>
        <w:tc>
          <w:tcPr>
            <w:tcW w:type="dxa" w:w="3120"/>
          </w:tcPr>
          <w:p>
            <w:r/>
            <w:r>
              <w:rPr>
                <w:rFonts w:ascii="Arial" w:hAnsi="Arial"/>
                <w:sz w:val="20"/>
              </w:rPr>
              <w:t>0–18%</w:t>
            </w:r>
          </w:p>
        </w:tc>
        <w:tc>
          <w:tcPr>
            <w:tcW w:type="dxa" w:w="3120"/>
          </w:tcPr>
          <w:p>
            <w:r/>
            <w:r>
              <w:rPr>
                <w:rFonts w:ascii="Arial" w:hAnsi="Arial"/>
                <w:sz w:val="20"/>
              </w:rPr>
              <w:t>–21.2%</w:t>
            </w:r>
          </w:p>
        </w:tc>
      </w:tr>
      <w:tr>
        <w:tc>
          <w:tcPr>
            <w:tcW w:type="dxa" w:w="3120"/>
          </w:tcPr>
          <w:p>
            <w:r/>
            <w:r>
              <w:rPr>
                <w:rFonts w:ascii="Arial" w:hAnsi="Arial"/>
                <w:sz w:val="20"/>
              </w:rPr>
              <w:t>Q2</w:t>
            </w:r>
          </w:p>
        </w:tc>
        <w:tc>
          <w:tcPr>
            <w:tcW w:type="dxa" w:w="3120"/>
          </w:tcPr>
          <w:p>
            <w:r/>
            <w:r>
              <w:rPr>
                <w:rFonts w:ascii="Arial" w:hAnsi="Arial"/>
                <w:sz w:val="20"/>
              </w:rPr>
              <w:t>18–29%</w:t>
            </w:r>
          </w:p>
        </w:tc>
        <w:tc>
          <w:tcPr>
            <w:tcW w:type="dxa" w:w="3120"/>
          </w:tcPr>
          <w:p>
            <w:r/>
            <w:r>
              <w:rPr>
                <w:rFonts w:ascii="Arial" w:hAnsi="Arial"/>
                <w:sz w:val="20"/>
              </w:rPr>
              <w:t>+31.7%</w:t>
            </w:r>
          </w:p>
        </w:tc>
      </w:tr>
      <w:tr>
        <w:tc>
          <w:tcPr>
            <w:tcW w:type="dxa" w:w="3120"/>
          </w:tcPr>
          <w:p>
            <w:r/>
            <w:r>
              <w:rPr>
                <w:rFonts w:ascii="Arial" w:hAnsi="Arial"/>
                <w:sz w:val="20"/>
              </w:rPr>
              <w:t>Q3</w:t>
            </w:r>
          </w:p>
        </w:tc>
        <w:tc>
          <w:tcPr>
            <w:tcW w:type="dxa" w:w="3120"/>
          </w:tcPr>
          <w:p>
            <w:r/>
            <w:r>
              <w:rPr>
                <w:rFonts w:ascii="Arial" w:hAnsi="Arial"/>
                <w:sz w:val="20"/>
              </w:rPr>
              <w:t>29–39%</w:t>
            </w:r>
          </w:p>
        </w:tc>
        <w:tc>
          <w:tcPr>
            <w:tcW w:type="dxa" w:w="3120"/>
          </w:tcPr>
          <w:p>
            <w:r/>
            <w:r>
              <w:rPr>
                <w:rFonts w:ascii="Arial" w:hAnsi="Arial"/>
                <w:sz w:val="20"/>
              </w:rPr>
              <w:t>+39.4%</w:t>
            </w:r>
          </w:p>
        </w:tc>
      </w:tr>
      <w:tr>
        <w:tc>
          <w:tcPr>
            <w:tcW w:type="dxa" w:w="3120"/>
          </w:tcPr>
          <w:p>
            <w:r/>
            <w:r>
              <w:rPr>
                <w:rFonts w:ascii="Arial" w:hAnsi="Arial"/>
                <w:sz w:val="20"/>
              </w:rPr>
              <w:t>Q4 (highest)</w:t>
            </w:r>
          </w:p>
        </w:tc>
        <w:tc>
          <w:tcPr>
            <w:tcW w:type="dxa" w:w="3120"/>
          </w:tcPr>
          <w:p>
            <w:r/>
            <w:r>
              <w:rPr>
                <w:rFonts w:ascii="Arial" w:hAnsi="Arial"/>
                <w:sz w:val="20"/>
              </w:rPr>
              <w:t>39–100%</w:t>
            </w:r>
          </w:p>
        </w:tc>
        <w:tc>
          <w:tcPr>
            <w:tcW w:type="dxa" w:w="3120"/>
          </w:tcPr>
          <w:p>
            <w:r/>
            <w:r>
              <w:rPr>
                <w:rFonts w:ascii="Arial" w:hAnsi="Arial"/>
                <w:sz w:val="20"/>
              </w:rPr>
              <w:t>+63.0%</w:t>
            </w:r>
          </w:p>
        </w:tc>
      </w:tr>
    </w:tbl>
    <w:p/>
    <w:p>
      <w:r>
        <w:t>The inverse gradient for NE% quartiles reinforces this conclusion:</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046A38"/>
          </w:tcPr>
          <w:p>
            <w:r>
              <w:rPr>
                <w:b/>
                <w:color w:val="FFFFFF"/>
              </w:rPr>
            </w:r>
            <w:r>
              <w:rPr>
                <w:rFonts w:ascii="Arial" w:hAnsi="Arial"/>
                <w:b/>
                <w:color w:val="FFFFFF"/>
                <w:sz w:val="20"/>
              </w:rPr>
              <w:t>NE% Quartile</w:t>
            </w:r>
          </w:p>
        </w:tc>
        <w:tc>
          <w:tcPr>
            <w:tcW w:type="dxa" w:w="3120"/>
            <w:shd w:val="clear" w:color="auto" w:fill="046A38"/>
          </w:tcPr>
          <w:p>
            <w:r>
              <w:rPr>
                <w:b/>
                <w:color w:val="FFFFFF"/>
              </w:rPr>
            </w:r>
            <w:r>
              <w:rPr>
                <w:rFonts w:ascii="Arial" w:hAnsi="Arial"/>
                <w:b/>
                <w:color w:val="FFFFFF"/>
                <w:sz w:val="20"/>
              </w:rPr>
              <w:t>NE% Range</w:t>
            </w:r>
          </w:p>
        </w:tc>
        <w:tc>
          <w:tcPr>
            <w:tcW w:type="dxa" w:w="3120"/>
            <w:shd w:val="clear" w:color="auto" w:fill="046A38"/>
          </w:tcPr>
          <w:p>
            <w:r>
              <w:rPr>
                <w:b/>
                <w:color w:val="FFFFFF"/>
              </w:rPr>
            </w:r>
            <w:r>
              <w:rPr>
                <w:rFonts w:ascii="Arial" w:hAnsi="Arial"/>
                <w:b/>
                <w:color w:val="FFFFFF"/>
                <w:sz w:val="20"/>
              </w:rPr>
              <w:t>Wtd. Avg YoY Growth</w:t>
            </w:r>
          </w:p>
        </w:tc>
      </w:tr>
      <w:tr>
        <w:tc>
          <w:tcPr>
            <w:tcW w:type="dxa" w:w="3120"/>
          </w:tcPr>
          <w:p>
            <w:r/>
            <w:r>
              <w:rPr>
                <w:rFonts w:ascii="Arial" w:hAnsi="Arial"/>
                <w:sz w:val="20"/>
              </w:rPr>
              <w:t>Q1 (lowest NE)</w:t>
            </w:r>
          </w:p>
        </w:tc>
        <w:tc>
          <w:tcPr>
            <w:tcW w:type="dxa" w:w="3120"/>
          </w:tcPr>
          <w:p>
            <w:r/>
            <w:r>
              <w:rPr>
                <w:rFonts w:ascii="Arial" w:hAnsi="Arial"/>
                <w:sz w:val="20"/>
              </w:rPr>
              <w:t>0–60%</w:t>
            </w:r>
          </w:p>
        </w:tc>
        <w:tc>
          <w:tcPr>
            <w:tcW w:type="dxa" w:w="3120"/>
          </w:tcPr>
          <w:p>
            <w:r/>
            <w:r>
              <w:rPr>
                <w:rFonts w:ascii="Arial" w:hAnsi="Arial"/>
                <w:sz w:val="20"/>
              </w:rPr>
              <w:t>+67.8%</w:t>
            </w:r>
          </w:p>
        </w:tc>
      </w:tr>
      <w:tr>
        <w:tc>
          <w:tcPr>
            <w:tcW w:type="dxa" w:w="3120"/>
          </w:tcPr>
          <w:p>
            <w:r/>
            <w:r>
              <w:rPr>
                <w:rFonts w:ascii="Arial" w:hAnsi="Arial"/>
                <w:sz w:val="20"/>
              </w:rPr>
              <w:t>Q2</w:t>
            </w:r>
          </w:p>
        </w:tc>
        <w:tc>
          <w:tcPr>
            <w:tcW w:type="dxa" w:w="3120"/>
          </w:tcPr>
          <w:p>
            <w:r/>
            <w:r>
              <w:rPr>
                <w:rFonts w:ascii="Arial" w:hAnsi="Arial"/>
                <w:sz w:val="20"/>
              </w:rPr>
              <w:t>60–74%</w:t>
            </w:r>
          </w:p>
        </w:tc>
        <w:tc>
          <w:tcPr>
            <w:tcW w:type="dxa" w:w="3120"/>
          </w:tcPr>
          <w:p>
            <w:r/>
            <w:r>
              <w:rPr>
                <w:rFonts w:ascii="Arial" w:hAnsi="Arial"/>
                <w:sz w:val="20"/>
              </w:rPr>
              <w:t>+37.8%</w:t>
            </w:r>
          </w:p>
        </w:tc>
      </w:tr>
      <w:tr>
        <w:tc>
          <w:tcPr>
            <w:tcW w:type="dxa" w:w="3120"/>
          </w:tcPr>
          <w:p>
            <w:r/>
            <w:r>
              <w:rPr>
                <w:rFonts w:ascii="Arial" w:hAnsi="Arial"/>
                <w:sz w:val="20"/>
              </w:rPr>
              <w:t>Q3</w:t>
            </w:r>
          </w:p>
        </w:tc>
        <w:tc>
          <w:tcPr>
            <w:tcW w:type="dxa" w:w="3120"/>
          </w:tcPr>
          <w:p>
            <w:r/>
            <w:r>
              <w:rPr>
                <w:rFonts w:ascii="Arial" w:hAnsi="Arial"/>
                <w:sz w:val="20"/>
              </w:rPr>
              <w:t>74–81%</w:t>
            </w:r>
          </w:p>
        </w:tc>
        <w:tc>
          <w:tcPr>
            <w:tcW w:type="dxa" w:w="3120"/>
          </w:tcPr>
          <w:p>
            <w:r/>
            <w:r>
              <w:rPr>
                <w:rFonts w:ascii="Arial" w:hAnsi="Arial"/>
                <w:sz w:val="20"/>
              </w:rPr>
              <w:t>+19.9%</w:t>
            </w:r>
          </w:p>
        </w:tc>
      </w:tr>
      <w:tr>
        <w:tc>
          <w:tcPr>
            <w:tcW w:type="dxa" w:w="3120"/>
          </w:tcPr>
          <w:p>
            <w:r/>
            <w:r>
              <w:rPr>
                <w:rFonts w:ascii="Arial" w:hAnsi="Arial"/>
                <w:sz w:val="20"/>
              </w:rPr>
              <w:t>Q4 (highest NE)</w:t>
            </w:r>
          </w:p>
        </w:tc>
        <w:tc>
          <w:tcPr>
            <w:tcW w:type="dxa" w:w="3120"/>
          </w:tcPr>
          <w:p>
            <w:r/>
            <w:r>
              <w:rPr>
                <w:rFonts w:ascii="Arial" w:hAnsi="Arial"/>
                <w:sz w:val="20"/>
              </w:rPr>
              <w:t>81–124%</w:t>
            </w:r>
          </w:p>
        </w:tc>
        <w:tc>
          <w:tcPr>
            <w:tcW w:type="dxa" w:w="3120"/>
          </w:tcPr>
          <w:p>
            <w:r/>
            <w:r>
              <w:rPr>
                <w:rFonts w:ascii="Arial" w:hAnsi="Arial"/>
                <w:sz w:val="20"/>
              </w:rPr>
              <w:t>–20.7%</w:t>
            </w:r>
          </w:p>
        </w:tc>
      </w:tr>
    </w:tbl>
    <w:p/>
    <w:p>
      <w:r>
        <w:drawing>
          <wp:inline xmlns:a="http://schemas.openxmlformats.org/drawingml/2006/main" xmlns:pic="http://schemas.openxmlformats.org/drawingml/2006/picture">
            <wp:extent cx="5486400" cy="2392339"/>
            <wp:docPr id="17" name="Picture 17"/>
            <wp:cNvGraphicFramePr>
              <a:graphicFrameLocks noChangeAspect="1"/>
            </wp:cNvGraphicFramePr>
            <a:graphic>
              <a:graphicData uri="http://schemas.openxmlformats.org/drawingml/2006/picture">
                <pic:pic>
                  <pic:nvPicPr>
                    <pic:cNvPr id="0" name="iter9_ws_lifecycle_revenue_bridge.png"/>
                    <pic:cNvPicPr/>
                  </pic:nvPicPr>
                  <pic:blipFill>
                    <a:blip r:embed="rId25"/>
                    <a:stretch>
                      <a:fillRect/>
                    </a:stretch>
                  </pic:blipFill>
                  <pic:spPr>
                    <a:xfrm>
                      <a:off x="0" y="0"/>
                      <a:ext cx="5486400" cy="2392339"/>
                    </a:xfrm>
                    <a:prstGeom prst="rect"/>
                  </pic:spPr>
                </pic:pic>
              </a:graphicData>
            </a:graphic>
          </wp:inline>
        </w:drawing>
      </w:r>
    </w:p>
    <w:p>
      <w:r>
        <w:t>Clients in the highest-NE quartile are, on average, contracting — a finding that challenges the intuitive assumption that New Entrant model adoption is the primary driver of wholesale account growth. In practice, the clients experiencing the strongest growth are those with a meaningful anchor in Stable models (which provide predictable, recurring revenue) supplemented by selective NE additions.</w:t>
      </w:r>
    </w:p>
    <w:p>
      <w:pPr>
        <w:pStyle w:val="Heading3"/>
      </w:pPr>
      <w:r>
        <w:rPr>
          <w:rFonts w:ascii="Arial" w:hAnsi="Arial"/>
          <w:color w:val="26890D"/>
        </w:rPr>
        <w:t>4.2 NE-Led and Stable-Led Client Segment Performance</w:t>
      </w:r>
    </w:p>
    <w:p>
      <w:r>
        <w:t>When clients are segmented by dominant basket type, the performance gap is equally pronounced:</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046A38"/>
          </w:tcPr>
          <w:p>
            <w:r>
              <w:rPr>
                <w:b/>
                <w:color w:val="FFFFFF"/>
              </w:rPr>
            </w:r>
            <w:r>
              <w:rPr>
                <w:rFonts w:ascii="Arial" w:hAnsi="Arial"/>
                <w:b/>
                <w:color w:val="FFFFFF"/>
                <w:sz w:val="20"/>
              </w:rPr>
              <w:t>Segment</w:t>
            </w:r>
          </w:p>
        </w:tc>
        <w:tc>
          <w:tcPr>
            <w:tcW w:type="dxa" w:w="1872"/>
            <w:shd w:val="clear" w:color="auto" w:fill="046A38"/>
          </w:tcPr>
          <w:p>
            <w:r>
              <w:rPr>
                <w:b/>
                <w:color w:val="FFFFFF"/>
              </w:rPr>
            </w:r>
            <w:r>
              <w:rPr>
                <w:rFonts w:ascii="Arial" w:hAnsi="Arial"/>
                <w:b/>
                <w:color w:val="FFFFFF"/>
                <w:sz w:val="20"/>
              </w:rPr>
              <w:t>Clients</w:t>
            </w:r>
          </w:p>
        </w:tc>
        <w:tc>
          <w:tcPr>
            <w:tcW w:type="dxa" w:w="1872"/>
            <w:shd w:val="clear" w:color="auto" w:fill="046A38"/>
          </w:tcPr>
          <w:p>
            <w:r>
              <w:rPr>
                <w:b/>
                <w:color w:val="FFFFFF"/>
              </w:rPr>
            </w:r>
            <w:r>
              <w:rPr>
                <w:rFonts w:ascii="Arial" w:hAnsi="Arial"/>
                <w:b/>
                <w:color w:val="FFFFFF"/>
                <w:sz w:val="20"/>
              </w:rPr>
              <w:t>LTM23 Revenue</w:t>
            </w:r>
          </w:p>
        </w:tc>
        <w:tc>
          <w:tcPr>
            <w:tcW w:type="dxa" w:w="1872"/>
            <w:shd w:val="clear" w:color="auto" w:fill="046A38"/>
          </w:tcPr>
          <w:p>
            <w:r>
              <w:rPr>
                <w:b/>
                <w:color w:val="FFFFFF"/>
              </w:rPr>
            </w:r>
            <w:r>
              <w:rPr>
                <w:rFonts w:ascii="Arial" w:hAnsi="Arial"/>
                <w:b/>
                <w:color w:val="FFFFFF"/>
                <w:sz w:val="20"/>
              </w:rPr>
              <w:t>% Clients Growing</w:t>
            </w:r>
          </w:p>
        </w:tc>
        <w:tc>
          <w:tcPr>
            <w:tcW w:type="dxa" w:w="1872"/>
            <w:shd w:val="clear" w:color="auto" w:fill="046A38"/>
          </w:tcPr>
          <w:p>
            <w:r>
              <w:rPr>
                <w:b/>
                <w:color w:val="FFFFFF"/>
              </w:rPr>
            </w:r>
            <w:r>
              <w:rPr>
                <w:rFonts w:ascii="Arial" w:hAnsi="Arial"/>
                <w:b/>
                <w:color w:val="FFFFFF"/>
                <w:sz w:val="20"/>
              </w:rPr>
              <w:t>Avg YoY Growth</w:t>
            </w:r>
          </w:p>
        </w:tc>
      </w:tr>
      <w:tr>
        <w:tc>
          <w:tcPr>
            <w:tcW w:type="dxa" w:w="1872"/>
          </w:tcPr>
          <w:p>
            <w:r/>
            <w:r>
              <w:rPr>
                <w:rFonts w:ascii="Arial" w:hAnsi="Arial"/>
                <w:sz w:val="20"/>
              </w:rPr>
              <w:t>Stable-led</w:t>
            </w:r>
          </w:p>
        </w:tc>
        <w:tc>
          <w:tcPr>
            <w:tcW w:type="dxa" w:w="1872"/>
          </w:tcPr>
          <w:p>
            <w:r/>
            <w:r>
              <w:rPr>
                <w:rFonts w:ascii="Arial" w:hAnsi="Arial"/>
                <w:sz w:val="20"/>
              </w:rPr>
              <w:t>89</w:t>
            </w:r>
          </w:p>
        </w:tc>
        <w:tc>
          <w:tcPr>
            <w:tcW w:type="dxa" w:w="1872"/>
          </w:tcPr>
          <w:p>
            <w:r/>
            <w:r>
              <w:rPr>
                <w:rFonts w:ascii="Arial" w:hAnsi="Arial"/>
                <w:sz w:val="20"/>
              </w:rPr>
              <w:t>—</w:t>
            </w:r>
          </w:p>
        </w:tc>
        <w:tc>
          <w:tcPr>
            <w:tcW w:type="dxa" w:w="1872"/>
          </w:tcPr>
          <w:p>
            <w:r/>
            <w:r>
              <w:rPr>
                <w:rFonts w:ascii="Arial" w:hAnsi="Arial"/>
                <w:sz w:val="20"/>
              </w:rPr>
              <w:t>64%</w:t>
            </w:r>
          </w:p>
        </w:tc>
        <w:tc>
          <w:tcPr>
            <w:tcW w:type="dxa" w:w="1872"/>
          </w:tcPr>
          <w:p>
            <w:r/>
            <w:r>
              <w:rPr>
                <w:rFonts w:ascii="Arial" w:hAnsi="Arial"/>
                <w:sz w:val="20"/>
              </w:rPr>
              <w:t>+75.1%</w:t>
            </w:r>
          </w:p>
        </w:tc>
      </w:tr>
      <w:tr>
        <w:tc>
          <w:tcPr>
            <w:tcW w:type="dxa" w:w="1872"/>
          </w:tcPr>
          <w:p>
            <w:r/>
            <w:r>
              <w:rPr>
                <w:rFonts w:ascii="Arial" w:hAnsi="Arial"/>
                <w:sz w:val="20"/>
              </w:rPr>
              <w:t>NE-led</w:t>
            </w:r>
          </w:p>
        </w:tc>
        <w:tc>
          <w:tcPr>
            <w:tcW w:type="dxa" w:w="1872"/>
          </w:tcPr>
          <w:p>
            <w:r/>
            <w:r>
              <w:rPr>
                <w:rFonts w:ascii="Arial" w:hAnsi="Arial"/>
                <w:sz w:val="20"/>
              </w:rPr>
              <w:t>638</w:t>
            </w:r>
          </w:p>
        </w:tc>
        <w:tc>
          <w:tcPr>
            <w:tcW w:type="dxa" w:w="1872"/>
          </w:tcPr>
          <w:p>
            <w:r/>
            <w:r>
              <w:rPr>
                <w:rFonts w:ascii="Arial" w:hAnsi="Arial"/>
                <w:sz w:val="20"/>
              </w:rPr>
              <w:t>€12.55m</w:t>
            </w:r>
          </w:p>
        </w:tc>
        <w:tc>
          <w:tcPr>
            <w:tcW w:type="dxa" w:w="1872"/>
          </w:tcPr>
          <w:p>
            <w:r/>
            <w:r>
              <w:rPr>
                <w:rFonts w:ascii="Arial" w:hAnsi="Arial"/>
                <w:sz w:val="20"/>
              </w:rPr>
              <w:t>Varies</w:t>
            </w:r>
          </w:p>
        </w:tc>
        <w:tc>
          <w:tcPr>
            <w:tcW w:type="dxa" w:w="1872"/>
          </w:tcPr>
          <w:p>
            <w:r/>
            <w:r>
              <w:rPr>
                <w:rFonts w:ascii="Arial" w:hAnsi="Arial"/>
                <w:sz w:val="20"/>
              </w:rPr>
              <w:t>+76.3% (mean); +3.9% (median)</w:t>
            </w:r>
          </w:p>
        </w:tc>
      </w:tr>
      <w:tr>
        <w:tc>
          <w:tcPr>
            <w:tcW w:type="dxa" w:w="1872"/>
          </w:tcPr>
          <w:p>
            <w:r/>
            <w:r>
              <w:rPr>
                <w:rFonts w:ascii="Arial" w:hAnsi="Arial"/>
                <w:sz w:val="20"/>
              </w:rPr>
              <w:t>Bust-heavy</w:t>
            </w:r>
          </w:p>
        </w:tc>
        <w:tc>
          <w:tcPr>
            <w:tcW w:type="dxa" w:w="1872"/>
          </w:tcPr>
          <w:p>
            <w:r/>
            <w:r>
              <w:rPr>
                <w:rFonts w:ascii="Arial" w:hAnsi="Arial"/>
                <w:sz w:val="20"/>
              </w:rPr>
              <w:t>4</w:t>
            </w:r>
          </w:p>
        </w:tc>
        <w:tc>
          <w:tcPr>
            <w:tcW w:type="dxa" w:w="1872"/>
          </w:tcPr>
          <w:p>
            <w:r/>
            <w:r>
              <w:rPr>
                <w:rFonts w:ascii="Arial" w:hAnsi="Arial"/>
                <w:sz w:val="20"/>
              </w:rPr>
              <w:t>—</w:t>
            </w:r>
          </w:p>
        </w:tc>
        <w:tc>
          <w:tcPr>
            <w:tcW w:type="dxa" w:w="1872"/>
          </w:tcPr>
          <w:p>
            <w:r/>
            <w:r>
              <w:rPr>
                <w:rFonts w:ascii="Arial" w:hAnsi="Arial"/>
                <w:sz w:val="20"/>
              </w:rPr>
              <w:t>0%</w:t>
            </w:r>
          </w:p>
        </w:tc>
        <w:tc>
          <w:tcPr>
            <w:tcW w:type="dxa" w:w="1872"/>
          </w:tcPr>
          <w:p>
            <w:r/>
            <w:r>
              <w:rPr>
                <w:rFonts w:ascii="Arial" w:hAnsi="Arial"/>
                <w:sz w:val="20"/>
              </w:rPr>
              <w:t>–19.6%</w:t>
            </w:r>
          </w:p>
        </w:tc>
      </w:tr>
    </w:tbl>
    <w:p/>
    <w:p>
      <w:r>
        <w:t>The NE-led segment warrants particular attention due to the extreme divergence between its mean (+76.3%) and median (+3.9%) YoY growth rates — a statistical signature of a distribution dominated by a small number of high-performing outliers (for example, SIMMS SIGAL LINWOOD at +11,316% YoY) masking broadly flat or declining performance across the majority of clients. This distortion makes the NE-led cohort appear far more dynamic than its underlying structure supports.</w:t>
      </w:r>
    </w:p>
    <w:p>
      <w:pPr>
        <w:pStyle w:val="Heading3"/>
      </w:pPr>
      <w:r>
        <w:rPr>
          <w:rFonts w:ascii="Arial" w:hAnsi="Arial"/>
          <w:color w:val="26890D"/>
        </w:rPr>
        <w:t>4.3 The Trickle-NE Growth Engine</w:t>
      </w:r>
    </w:p>
    <w:p>
      <w:r/>
      <w:r>
        <w:rPr>
          <w:b/>
        </w:rPr>
        <w:t>Basis of Preparation.</w:t>
      </w:r>
      <w:r>
        <w:t xml:space="preserve"> Within the wholesale NE revenue pool (€12.65m), models were segmented as </w:t>
      </w:r>
      <w:r>
        <w:rPr>
          <w:b/>
        </w:rPr>
        <w:t>Breakout</w:t>
      </w:r>
      <w:r>
        <w:t xml:space="preserve"> (≥€500k in LTM23 wholesale revenue) or </w:t>
      </w:r>
      <w:r>
        <w:rPr>
          <w:b/>
        </w:rPr>
        <w:t>Trickle</w:t>
      </w:r>
      <w:r>
        <w:t xml:space="preserve"> (below €500k). The top NE models were ranked by wholesale LTM23 revenue. Client segmentation groups were defined by combining NE share (above/below median) and Breakout model concentration (above/below €200k in single breakout model revenue) to produce four groups: G1 (High-NE, High-Breakout), G2 (High-NE, Mixed), G3 (Low-NE), and G4 (High-NE, Low-Breakout / Trickle-only).</w:t>
      </w:r>
    </w:p>
    <w:p>
      <w:r>
        <w:drawing>
          <wp:inline xmlns:a="http://schemas.openxmlformats.org/drawingml/2006/main" xmlns:pic="http://schemas.openxmlformats.org/drawingml/2006/picture">
            <wp:extent cx="5486400" cy="2413199"/>
            <wp:docPr id="18" name="Picture 18"/>
            <wp:cNvGraphicFramePr>
              <a:graphicFrameLocks noChangeAspect="1"/>
            </wp:cNvGraphicFramePr>
            <a:graphic>
              <a:graphicData uri="http://schemas.openxmlformats.org/drawingml/2006/picture">
                <pic:pic>
                  <pic:nvPicPr>
                    <pic:cNvPr id="0" name="iter10_ne_model_detail.png"/>
                    <pic:cNvPicPr/>
                  </pic:nvPicPr>
                  <pic:blipFill>
                    <a:blip r:embed="rId26"/>
                    <a:stretch>
                      <a:fillRect/>
                    </a:stretch>
                  </pic:blipFill>
                  <pic:spPr>
                    <a:xfrm>
                      <a:off x="0" y="0"/>
                      <a:ext cx="5486400" cy="2413199"/>
                    </a:xfrm>
                    <a:prstGeom prst="rect"/>
                  </pic:spPr>
                </pic:pic>
              </a:graphicData>
            </a:graphic>
          </wp:inline>
        </w:drawing>
      </w:r>
    </w:p>
    <w:p>
      <w:r>
        <w:t xml:space="preserve">A key structural insight from the most granular level of analysis is that wholesale NE revenue is not concentrated in a small number of breakout models but is instead distributed broadly across a fragmented portfolio of individually modest trickle SKUs. Only two models qualify as Breakout NE (≥€500k wholesale LTM23 revenue): </w:t>
      </w:r>
      <w:r>
        <w:rPr>
          <w:b/>
        </w:rPr>
        <w:t>SEOUL</w:t>
      </w:r>
      <w:r>
        <w:t xml:space="preserve"> — the company's highest-revenue NE model — at €684k and </w:t>
      </w:r>
      <w:r>
        <w:rPr>
          <w:b/>
        </w:rPr>
        <w:t>MILWAUKEE</w:t>
      </w:r>
      <w:r>
        <w:t xml:space="preserve"> at €522k, together representing only 9.5% of total wholesale NE revenue. The remaining 90.5% (€11.44m) is distributed across 113 Trickle models, with the top model accounting for only 5.4% of the NE pool.</w:t>
      </w:r>
    </w:p>
    <w:p>
      <w:r>
        <w:drawing>
          <wp:inline xmlns:a="http://schemas.openxmlformats.org/drawingml/2006/main" xmlns:pic="http://schemas.openxmlformats.org/drawingml/2006/picture">
            <wp:extent cx="5486400" cy="2381586"/>
            <wp:docPr id="19" name="Picture 19"/>
            <wp:cNvGraphicFramePr>
              <a:graphicFrameLocks noChangeAspect="1"/>
            </wp:cNvGraphicFramePr>
            <a:graphic>
              <a:graphicData uri="http://schemas.openxmlformats.org/drawingml/2006/picture">
                <pic:pic>
                  <pic:nvPicPr>
                    <pic:cNvPr id="0" name="iter10_breakout_ne_concentration.png"/>
                    <pic:cNvPicPr/>
                  </pic:nvPicPr>
                  <pic:blipFill>
                    <a:blip r:embed="rId27"/>
                    <a:stretch>
                      <a:fillRect/>
                    </a:stretch>
                  </pic:blipFill>
                  <pic:spPr>
                    <a:xfrm>
                      <a:off x="0" y="0"/>
                      <a:ext cx="5486400" cy="2381586"/>
                    </a:xfrm>
                    <a:prstGeom prst="rect"/>
                  </pic:spPr>
                </pic:pic>
              </a:graphicData>
            </a:graphic>
          </wp:inline>
        </w:drawing>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046A38"/>
          </w:tcPr>
          <w:p>
            <w:r>
              <w:rPr>
                <w:b/>
                <w:color w:val="FFFFFF"/>
              </w:rPr>
            </w:r>
            <w:r>
              <w:rPr>
                <w:rFonts w:ascii="Arial" w:hAnsi="Arial"/>
                <w:b/>
                <w:color w:val="FFFFFF"/>
                <w:sz w:val="20"/>
              </w:rPr>
              <w:t>NE Model Tier</w:t>
            </w:r>
          </w:p>
        </w:tc>
        <w:tc>
          <w:tcPr>
            <w:tcW w:type="dxa" w:w="2340"/>
            <w:shd w:val="clear" w:color="auto" w:fill="046A38"/>
          </w:tcPr>
          <w:p>
            <w:r>
              <w:rPr>
                <w:b/>
                <w:color w:val="FFFFFF"/>
              </w:rPr>
            </w:r>
            <w:r>
              <w:rPr>
                <w:rFonts w:ascii="Arial" w:hAnsi="Arial"/>
                <w:b/>
                <w:color w:val="FFFFFF"/>
                <w:sz w:val="20"/>
              </w:rPr>
              <w:t>Models</w:t>
            </w:r>
          </w:p>
        </w:tc>
        <w:tc>
          <w:tcPr>
            <w:tcW w:type="dxa" w:w="2340"/>
            <w:shd w:val="clear" w:color="auto" w:fill="046A38"/>
          </w:tcPr>
          <w:p>
            <w:r>
              <w:rPr>
                <w:b/>
                <w:color w:val="FFFFFF"/>
              </w:rPr>
            </w:r>
            <w:r>
              <w:rPr>
                <w:rFonts w:ascii="Arial" w:hAnsi="Arial"/>
                <w:b/>
                <w:color w:val="FFFFFF"/>
                <w:sz w:val="20"/>
              </w:rPr>
              <w:t>WS LTM23 Revenue</w:t>
            </w:r>
          </w:p>
        </w:tc>
        <w:tc>
          <w:tcPr>
            <w:tcW w:type="dxa" w:w="2340"/>
            <w:shd w:val="clear" w:color="auto" w:fill="046A38"/>
          </w:tcPr>
          <w:p>
            <w:r>
              <w:rPr>
                <w:b/>
                <w:color w:val="FFFFFF"/>
              </w:rPr>
            </w:r>
            <w:r>
              <w:rPr>
                <w:rFonts w:ascii="Arial" w:hAnsi="Arial"/>
                <w:b/>
                <w:color w:val="FFFFFF"/>
                <w:sz w:val="20"/>
              </w:rPr>
              <w:t>Share of WS NE</w:t>
            </w:r>
          </w:p>
        </w:tc>
      </w:tr>
      <w:tr>
        <w:tc>
          <w:tcPr>
            <w:tcW w:type="dxa" w:w="2340"/>
          </w:tcPr>
          <w:p>
            <w:r/>
            <w:r>
              <w:rPr>
                <w:rFonts w:ascii="Arial" w:hAnsi="Arial"/>
                <w:sz w:val="20"/>
              </w:rPr>
              <w:t>Breakout (≥€500k)</w:t>
            </w:r>
          </w:p>
        </w:tc>
        <w:tc>
          <w:tcPr>
            <w:tcW w:type="dxa" w:w="2340"/>
          </w:tcPr>
          <w:p>
            <w:r/>
            <w:r>
              <w:rPr>
                <w:rFonts w:ascii="Arial" w:hAnsi="Arial"/>
                <w:sz w:val="20"/>
              </w:rPr>
              <w:t>2</w:t>
            </w:r>
          </w:p>
        </w:tc>
        <w:tc>
          <w:tcPr>
            <w:tcW w:type="dxa" w:w="2340"/>
          </w:tcPr>
          <w:p>
            <w:r/>
            <w:r>
              <w:rPr>
                <w:rFonts w:ascii="Arial" w:hAnsi="Arial"/>
                <w:sz w:val="20"/>
              </w:rPr>
              <w:t>€1.21m</w:t>
            </w:r>
          </w:p>
        </w:tc>
        <w:tc>
          <w:tcPr>
            <w:tcW w:type="dxa" w:w="2340"/>
          </w:tcPr>
          <w:p>
            <w:r/>
            <w:r>
              <w:rPr>
                <w:rFonts w:ascii="Arial" w:hAnsi="Arial"/>
                <w:sz w:val="20"/>
              </w:rPr>
              <w:t>9.5%</w:t>
            </w:r>
          </w:p>
        </w:tc>
      </w:tr>
      <w:tr>
        <w:tc>
          <w:tcPr>
            <w:tcW w:type="dxa" w:w="2340"/>
          </w:tcPr>
          <w:p>
            <w:r/>
            <w:r>
              <w:rPr>
                <w:rFonts w:ascii="Arial" w:hAnsi="Arial"/>
                <w:sz w:val="20"/>
              </w:rPr>
              <w:t>Trickle (&lt;€500k)</w:t>
            </w:r>
          </w:p>
        </w:tc>
        <w:tc>
          <w:tcPr>
            <w:tcW w:type="dxa" w:w="2340"/>
          </w:tcPr>
          <w:p>
            <w:r/>
            <w:r>
              <w:rPr>
                <w:rFonts w:ascii="Arial" w:hAnsi="Arial"/>
                <w:sz w:val="20"/>
              </w:rPr>
              <w:t>113</w:t>
            </w:r>
          </w:p>
        </w:tc>
        <w:tc>
          <w:tcPr>
            <w:tcW w:type="dxa" w:w="2340"/>
          </w:tcPr>
          <w:p>
            <w:r/>
            <w:r>
              <w:rPr>
                <w:rFonts w:ascii="Arial" w:hAnsi="Arial"/>
                <w:sz w:val="20"/>
              </w:rPr>
              <w:t>€11.44m</w:t>
            </w:r>
          </w:p>
        </w:tc>
        <w:tc>
          <w:tcPr>
            <w:tcW w:type="dxa" w:w="2340"/>
          </w:tcPr>
          <w:p>
            <w:r/>
            <w:r>
              <w:rPr>
                <w:rFonts w:ascii="Arial" w:hAnsi="Arial"/>
                <w:sz w:val="20"/>
              </w:rPr>
              <w:t>90.5%</w:t>
            </w:r>
          </w:p>
        </w:tc>
      </w:tr>
    </w:tbl>
    <w:p/>
    <w:p>
      <w:r>
        <w:t>The post-peak retention profiles of Breakout versus Trickle models reveal different risk signatures: Breakout models show stronger near-term retention (67.5% at +3m post-peak) but exhibit a cliff-edge collapse at +6m (9.5%) and zero retention at +9m. Trickle models show weaker short-term retention (19.6% at +3m, 6.7% at +6m) but distribute that risk across many independent SKUs. The real growth engine of the wholesale channel is therefore a broad, fragmented portfolio of Trickle NE models generating modest per-SKU revenue — not a concentrated bet on a few breakthrough products.</w:t>
      </w:r>
    </w:p>
    <w:p>
      <w:r>
        <w:drawing>
          <wp:inline xmlns:a="http://schemas.openxmlformats.org/drawingml/2006/main" xmlns:pic="http://schemas.openxmlformats.org/drawingml/2006/picture">
            <wp:extent cx="5486400" cy="1817894"/>
            <wp:docPr id="20" name="Picture 20"/>
            <wp:cNvGraphicFramePr>
              <a:graphicFrameLocks noChangeAspect="1"/>
            </wp:cNvGraphicFramePr>
            <a:graphic>
              <a:graphicData uri="http://schemas.openxmlformats.org/drawingml/2006/picture">
                <pic:pic>
                  <pic:nvPicPr>
                    <pic:cNvPr id="0" name="iter10_client_ne_segment_performance.png"/>
                    <pic:cNvPicPr/>
                  </pic:nvPicPr>
                  <pic:blipFill>
                    <a:blip r:embed="rId28"/>
                    <a:stretch>
                      <a:fillRect/>
                    </a:stretch>
                  </pic:blipFill>
                  <pic:spPr>
                    <a:xfrm>
                      <a:off x="0" y="0"/>
                      <a:ext cx="5486400" cy="1817894"/>
                    </a:xfrm>
                    <a:prstGeom prst="rect"/>
                  </pic:spPr>
                </pic:pic>
              </a:graphicData>
            </a:graphic>
          </wp:inline>
        </w:drawing>
      </w:r>
    </w:p>
    <w:p>
      <w:r>
        <w:t>Of the 741 returning wholesale clients, 718 (97%) fall into the High-NE/Low-Breakout (Trickle) group (G4), generating €16.64m in LTM23 revenue and growing at a revenue-weighted YoY rate of +38.1%, with 56.3% of clients growing. This confirms that the Trickle NE model is not a residual or peripheral phenomenon — it is the structural foundation of wholesale revenue generation.</w:t>
      </w:r>
    </w:p>
    <w:p/>
    <w:p>
      <w:pPr>
        <w:pStyle w:val="Heading2"/>
      </w:pPr>
      <w:r>
        <w:rPr>
          <w:rFonts w:ascii="Arial" w:hAnsi="Arial"/>
          <w:color w:val="26890D"/>
        </w:rPr>
        <w:t>Section 5: Entry-Tier New Entrant Deep Dive</w:t>
      </w:r>
    </w:p>
    <w:p>
      <w:pPr>
        <w:pStyle w:val="Heading3"/>
      </w:pPr>
      <w:r>
        <w:rPr>
          <w:rFonts w:ascii="Arial" w:hAnsi="Arial"/>
          <w:color w:val="26890D"/>
        </w:rPr>
        <w:t>5.1 Structural Characteristics of Entry-Tier New Entrant Models</w:t>
      </w:r>
    </w:p>
    <w:p>
      <w:r/>
      <w:r>
        <w:rPr>
          <w:b/>
        </w:rPr>
        <w:t>Basis of Preparation.</w:t>
      </w:r>
      <w:r>
        <w:t xml:space="preserve"> Entry-tier models were defined as those with an LTM23 average selling price below €48. New Entrant models within this tier were identified as those with zero FY2021 revenue. Channel mix, post-peak retention, durability classification, and repeat-order rate were all computed for this specific population. Quarterly cohort revenue trajectories were constructed by grouping NE Entry models by their launch quarter (H1 FY2022: models first appearing January–June 2022; H2 FY2022: models first appearing July–December 2022) and tracking their aggregate monthly revenue from launch through the latest available data point. Repeat client rate was defined as the share of clients ordering a given model in two or more distinct monthly periods.</w:t>
      </w:r>
    </w:p>
    <w:p>
      <w:r>
        <w:drawing>
          <wp:inline xmlns:a="http://schemas.openxmlformats.org/drawingml/2006/main" xmlns:pic="http://schemas.openxmlformats.org/drawingml/2006/picture">
            <wp:extent cx="5486400" cy="2038398"/>
            <wp:docPr id="21" name="Picture 21"/>
            <wp:cNvGraphicFramePr>
              <a:graphicFrameLocks noChangeAspect="1"/>
            </wp:cNvGraphicFramePr>
            <a:graphic>
              <a:graphicData uri="http://schemas.openxmlformats.org/drawingml/2006/picture">
                <pic:pic>
                  <pic:nvPicPr>
                    <pic:cNvPr id="0" name="iter5_asp_tier_revenue_lifecycle.png"/>
                    <pic:cNvPicPr/>
                  </pic:nvPicPr>
                  <pic:blipFill>
                    <a:blip r:embed="rId29"/>
                    <a:stretch>
                      <a:fillRect/>
                    </a:stretch>
                  </pic:blipFill>
                  <pic:spPr>
                    <a:xfrm>
                      <a:off x="0" y="0"/>
                      <a:ext cx="5486400" cy="2038398"/>
                    </a:xfrm>
                    <a:prstGeom prst="rect"/>
                  </pic:spPr>
                </pic:pic>
              </a:graphicData>
            </a:graphic>
          </wp:inline>
        </w:drawing>
      </w:r>
    </w:p>
    <w:p>
      <w:r>
        <w:t>Entry-tier New Entrant models represent the single largest sub-segment risk in the portfolio, combining high revenue materiality (€8.8m, 24.5% of total LTM23 revenue), pronounced wholesale dependency (73.4% of segment revenue via wholesale), and demonstrated spike-and-decay demand dynamics.</w:t>
      </w:r>
    </w:p>
    <w:p>
      <w:r>
        <w:t xml:space="preserve">The anomaly that warranted this dedicated analysis was an observed </w:t>
      </w:r>
      <w:r>
        <w:rPr>
          <w:b/>
        </w:rPr>
        <w:t>inversion in lifecycle mix</w:t>
      </w:r>
      <w:r>
        <w:t xml:space="preserve"> within the Entry tier: New Entrant models (€8.8m) outrevenue Stable models (€4.9m) within the same price tier by a factor of nearly two. In the Premium tier, the relationship is reversed — Stable models (€3.2m) substantially outrevenue New Entrants (€383k). This inversion at the Entry level is consistent with a wholesale sell-in dynamic in which distributors stock new, low-priced models in volume at initial order, generating large one-time purchase quantities that overstate underlying consumer demand.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046A38"/>
          </w:tcPr>
          <w:p>
            <w:r>
              <w:rPr>
                <w:b/>
                <w:color w:val="FFFFFF"/>
              </w:rPr>
            </w:r>
            <w:r>
              <w:rPr>
                <w:rFonts w:ascii="Arial" w:hAnsi="Arial"/>
                <w:b/>
                <w:color w:val="FFFFFF"/>
                <w:sz w:val="20"/>
              </w:rPr>
              <w:t>Segment</w:t>
            </w:r>
          </w:p>
        </w:tc>
        <w:tc>
          <w:tcPr>
            <w:tcW w:type="dxa" w:w="2340"/>
            <w:shd w:val="clear" w:color="auto" w:fill="046A38"/>
          </w:tcPr>
          <w:p>
            <w:r>
              <w:rPr>
                <w:b/>
                <w:color w:val="FFFFFF"/>
              </w:rPr>
            </w:r>
            <w:r>
              <w:rPr>
                <w:rFonts w:ascii="Arial" w:hAnsi="Arial"/>
                <w:b/>
                <w:color w:val="FFFFFF"/>
                <w:sz w:val="20"/>
              </w:rPr>
              <w:t>LTM23 Revenue</w:t>
            </w:r>
          </w:p>
        </w:tc>
        <w:tc>
          <w:tcPr>
            <w:tcW w:type="dxa" w:w="2340"/>
            <w:shd w:val="clear" w:color="auto" w:fill="046A38"/>
          </w:tcPr>
          <w:p>
            <w:r>
              <w:rPr>
                <w:b/>
                <w:color w:val="FFFFFF"/>
              </w:rPr>
            </w:r>
            <w:r>
              <w:rPr>
                <w:rFonts w:ascii="Arial" w:hAnsi="Arial"/>
                <w:b/>
                <w:color w:val="FFFFFF"/>
                <w:sz w:val="20"/>
              </w:rPr>
              <w:t>Wholesale %</w:t>
            </w:r>
          </w:p>
        </w:tc>
        <w:tc>
          <w:tcPr>
            <w:tcW w:type="dxa" w:w="2340"/>
            <w:shd w:val="clear" w:color="auto" w:fill="046A38"/>
          </w:tcPr>
          <w:p>
            <w:r>
              <w:rPr>
                <w:b/>
                <w:color w:val="FFFFFF"/>
              </w:rPr>
            </w:r>
            <w:r>
              <w:rPr>
                <w:rFonts w:ascii="Arial" w:hAnsi="Arial"/>
                <w:b/>
                <w:color w:val="FFFFFF"/>
                <w:sz w:val="20"/>
              </w:rPr>
              <w:t>Avg +3m Retention</w:t>
            </w:r>
          </w:p>
        </w:tc>
      </w:tr>
      <w:tr>
        <w:tc>
          <w:tcPr>
            <w:tcW w:type="dxa" w:w="2340"/>
          </w:tcPr>
          <w:p>
            <w:r/>
            <w:r>
              <w:rPr>
                <w:rFonts w:ascii="Arial" w:hAnsi="Arial"/>
                <w:sz w:val="20"/>
              </w:rPr>
              <w:t>Entry NE (&lt;€48)</w:t>
            </w:r>
          </w:p>
        </w:tc>
        <w:tc>
          <w:tcPr>
            <w:tcW w:type="dxa" w:w="2340"/>
          </w:tcPr>
          <w:p>
            <w:r/>
            <w:r>
              <w:rPr>
                <w:rFonts w:ascii="Arial" w:hAnsi="Arial"/>
                <w:sz w:val="20"/>
              </w:rPr>
              <w:t>€8.8m</w:t>
            </w:r>
          </w:p>
        </w:tc>
        <w:tc>
          <w:tcPr>
            <w:tcW w:type="dxa" w:w="2340"/>
          </w:tcPr>
          <w:p>
            <w:r/>
            <w:r>
              <w:rPr>
                <w:rFonts w:ascii="Arial" w:hAnsi="Arial"/>
                <w:sz w:val="20"/>
              </w:rPr>
              <w:t>73.4%</w:t>
            </w:r>
          </w:p>
        </w:tc>
        <w:tc>
          <w:tcPr>
            <w:tcW w:type="dxa" w:w="2340"/>
          </w:tcPr>
          <w:p>
            <w:r/>
            <w:r>
              <w:rPr>
                <w:rFonts w:ascii="Arial" w:hAnsi="Arial"/>
                <w:sz w:val="20"/>
              </w:rPr>
              <w:t>27.4%</w:t>
            </w:r>
          </w:p>
        </w:tc>
      </w:tr>
      <w:tr>
        <w:tc>
          <w:tcPr>
            <w:tcW w:type="dxa" w:w="2340"/>
          </w:tcPr>
          <w:p>
            <w:r/>
            <w:r>
              <w:rPr>
                <w:rFonts w:ascii="Arial" w:hAnsi="Arial"/>
                <w:sz w:val="20"/>
              </w:rPr>
              <w:t>Entry Stable (&lt;€48)</w:t>
            </w:r>
          </w:p>
        </w:tc>
        <w:tc>
          <w:tcPr>
            <w:tcW w:type="dxa" w:w="2340"/>
          </w:tcPr>
          <w:p>
            <w:r/>
            <w:r>
              <w:rPr>
                <w:rFonts w:ascii="Arial" w:hAnsi="Arial"/>
                <w:sz w:val="20"/>
              </w:rPr>
              <w:t>€4.9m</w:t>
            </w:r>
          </w:p>
        </w:tc>
        <w:tc>
          <w:tcPr>
            <w:tcW w:type="dxa" w:w="2340"/>
          </w:tcPr>
          <w:p>
            <w:r/>
            <w:r>
              <w:rPr>
                <w:rFonts w:ascii="Arial" w:hAnsi="Arial"/>
                <w:sz w:val="20"/>
              </w:rPr>
              <w:t>66.7%</w:t>
            </w:r>
          </w:p>
        </w:tc>
        <w:tc>
          <w:tcPr>
            <w:tcW w:type="dxa" w:w="2340"/>
          </w:tcPr>
          <w:p>
            <w:r/>
            <w:r>
              <w:rPr>
                <w:rFonts w:ascii="Arial" w:hAnsi="Arial"/>
                <w:sz w:val="20"/>
              </w:rPr>
              <w:t>34.9%</w:t>
            </w:r>
          </w:p>
        </w:tc>
      </w:tr>
      <w:tr>
        <w:tc>
          <w:tcPr>
            <w:tcW w:type="dxa" w:w="2340"/>
          </w:tcPr>
          <w:p>
            <w:r/>
            <w:r>
              <w:rPr>
                <w:rFonts w:ascii="Arial" w:hAnsi="Arial"/>
                <w:sz w:val="20"/>
              </w:rPr>
              <w:t>Premium NE (&gt;€65)</w:t>
            </w:r>
          </w:p>
        </w:tc>
        <w:tc>
          <w:tcPr>
            <w:tcW w:type="dxa" w:w="2340"/>
          </w:tcPr>
          <w:p>
            <w:r/>
            <w:r>
              <w:rPr>
                <w:rFonts w:ascii="Arial" w:hAnsi="Arial"/>
                <w:sz w:val="20"/>
              </w:rPr>
              <w:t>€0.4m</w:t>
            </w:r>
          </w:p>
        </w:tc>
        <w:tc>
          <w:tcPr>
            <w:tcW w:type="dxa" w:w="2340"/>
          </w:tcPr>
          <w:p>
            <w:r/>
            <w:r>
              <w:rPr>
                <w:rFonts w:ascii="Arial" w:hAnsi="Arial"/>
                <w:sz w:val="20"/>
              </w:rPr>
              <w:t>~20%</w:t>
            </w:r>
          </w:p>
        </w:tc>
        <w:tc>
          <w:tcPr>
            <w:tcW w:type="dxa" w:w="2340"/>
          </w:tcPr>
          <w:p>
            <w:r/>
            <w:r>
              <w:rPr>
                <w:rFonts w:ascii="Arial" w:hAnsi="Arial"/>
                <w:sz w:val="20"/>
              </w:rPr>
              <w:t>—</w:t>
            </w:r>
          </w:p>
        </w:tc>
      </w:tr>
      <w:tr>
        <w:tc>
          <w:tcPr>
            <w:tcW w:type="dxa" w:w="2340"/>
          </w:tcPr>
          <w:p>
            <w:r/>
            <w:r>
              <w:rPr>
                <w:rFonts w:ascii="Arial" w:hAnsi="Arial"/>
                <w:sz w:val="20"/>
              </w:rPr>
              <w:t>Premium Stable (&gt;€65)</w:t>
            </w:r>
          </w:p>
        </w:tc>
        <w:tc>
          <w:tcPr>
            <w:tcW w:type="dxa" w:w="2340"/>
          </w:tcPr>
          <w:p>
            <w:r/>
            <w:r>
              <w:rPr>
                <w:rFonts w:ascii="Arial" w:hAnsi="Arial"/>
                <w:sz w:val="20"/>
              </w:rPr>
              <w:t>€3.2m</w:t>
            </w:r>
          </w:p>
        </w:tc>
        <w:tc>
          <w:tcPr>
            <w:tcW w:type="dxa" w:w="2340"/>
          </w:tcPr>
          <w:p>
            <w:r/>
            <w:r>
              <w:rPr>
                <w:rFonts w:ascii="Arial" w:hAnsi="Arial"/>
                <w:sz w:val="20"/>
              </w:rPr>
              <w:t>~20%</w:t>
            </w:r>
          </w:p>
        </w:tc>
        <w:tc>
          <w:tcPr>
            <w:tcW w:type="dxa" w:w="2340"/>
          </w:tcPr>
          <w:p>
            <w:r/>
            <w:r>
              <w:rPr>
                <w:rFonts w:ascii="Arial" w:hAnsi="Arial"/>
                <w:sz w:val="20"/>
              </w:rPr>
              <w:t>—</w:t>
            </w:r>
          </w:p>
        </w:tc>
      </w:tr>
    </w:tbl>
    <w:p/>
    <w:p>
      <w:r>
        <w:drawing>
          <wp:inline xmlns:a="http://schemas.openxmlformats.org/drawingml/2006/main" xmlns:pic="http://schemas.openxmlformats.org/drawingml/2006/picture">
            <wp:extent cx="5486400" cy="2280102"/>
            <wp:docPr id="22" name="Picture 22"/>
            <wp:cNvGraphicFramePr>
              <a:graphicFrameLocks noChangeAspect="1"/>
            </wp:cNvGraphicFramePr>
            <a:graphic>
              <a:graphicData uri="http://schemas.openxmlformats.org/drawingml/2006/picture">
                <pic:pic>
                  <pic:nvPicPr>
                    <pic:cNvPr id="0" name="iter6_channel_mix_ne_entry_vs_stable.png"/>
                    <pic:cNvPicPr/>
                  </pic:nvPicPr>
                  <pic:blipFill>
                    <a:blip r:embed="rId30"/>
                    <a:stretch>
                      <a:fillRect/>
                    </a:stretch>
                  </pic:blipFill>
                  <pic:spPr>
                    <a:xfrm>
                      <a:off x="0" y="0"/>
                      <a:ext cx="5486400" cy="2280102"/>
                    </a:xfrm>
                    <a:prstGeom prst="rect"/>
                  </pic:spPr>
                </pic:pic>
              </a:graphicData>
            </a:graphic>
          </wp:inline>
        </w:drawing>
      </w:r>
    </w:p>
    <w:p>
      <w:pPr>
        <w:pStyle w:val="Heading3"/>
      </w:pPr>
      <w:r>
        <w:rPr>
          <w:rFonts w:ascii="Arial" w:hAnsi="Arial"/>
          <w:color w:val="26890D"/>
        </w:rPr>
        <w:t>5.2 Cohort Spike-and-Decay Pattern</w:t>
      </w:r>
    </w:p>
    <w:p>
      <w:r>
        <w:drawing>
          <wp:inline xmlns:a="http://schemas.openxmlformats.org/drawingml/2006/main" xmlns:pic="http://schemas.openxmlformats.org/drawingml/2006/picture">
            <wp:extent cx="5486400" cy="2469384"/>
            <wp:docPr id="23" name="Picture 23"/>
            <wp:cNvGraphicFramePr>
              <a:graphicFrameLocks noChangeAspect="1"/>
            </wp:cNvGraphicFramePr>
            <a:graphic>
              <a:graphicData uri="http://schemas.openxmlformats.org/drawingml/2006/picture">
                <pic:pic>
                  <pic:nvPicPr>
                    <pic:cNvPr id="0" name="iter6_ne_entry_quarterly_cohort_revenue.png"/>
                    <pic:cNvPicPr/>
                  </pic:nvPicPr>
                  <pic:blipFill>
                    <a:blip r:embed="rId31"/>
                    <a:stretch>
                      <a:fillRect/>
                    </a:stretch>
                  </pic:blipFill>
                  <pic:spPr>
                    <a:xfrm>
                      <a:off x="0" y="0"/>
                      <a:ext cx="5486400" cy="2469384"/>
                    </a:xfrm>
                    <a:prstGeom prst="rect"/>
                  </pic:spPr>
                </pic:pic>
              </a:graphicData>
            </a:graphic>
          </wp:inline>
        </w:drawing>
      </w:r>
    </w:p>
    <w:p>
      <w:r>
        <w:t>The quarterly cohort analysis for Entry-tier NE models provides a clear visualisation of the rolling-cohort substitution dynamic described in Section 2. The FY2022 H1 launch cohort — models first introduced in the first half of 2022 — peaked at aggregate monthly revenue of approximately €2.1m in Q3 2022 before decaying to approximately €188k by Q2 2023, a decline of –91%. The FY2022 H2 cohort replicated this spike-and-decay pattern with equivalent velocity. Together, these cohorts confirm that large initial sell-in volumes are followed by near-complete demand collapse within six to nine months — a pattern structurally inconsistent with sustainable revenue contribution from any individual model.</w:t>
      </w:r>
    </w:p>
    <w:p>
      <w:pPr>
        <w:pStyle w:val="Heading3"/>
      </w:pPr>
      <w:r>
        <w:rPr>
          <w:rFonts w:ascii="Arial" w:hAnsi="Arial"/>
          <w:color w:val="26890D"/>
        </w:rPr>
        <w:t>5.3 Durability Distribution and Repeat-Order Rates</w:t>
      </w:r>
    </w:p>
    <w:p>
      <w:r>
        <w:drawing>
          <wp:inline xmlns:a="http://schemas.openxmlformats.org/drawingml/2006/main" xmlns:pic="http://schemas.openxmlformats.org/drawingml/2006/picture">
            <wp:extent cx="5486400" cy="3025134"/>
            <wp:docPr id="24" name="Picture 24"/>
            <wp:cNvGraphicFramePr>
              <a:graphicFrameLocks noChangeAspect="1"/>
            </wp:cNvGraphicFramePr>
            <a:graphic>
              <a:graphicData uri="http://schemas.openxmlformats.org/drawingml/2006/picture">
                <pic:pic>
                  <pic:nvPicPr>
                    <pic:cNvPr id="0" name="iter6_post_peak_retention_ne_entry_vs_all.png"/>
                    <pic:cNvPicPr/>
                  </pic:nvPicPr>
                  <pic:blipFill>
                    <a:blip r:embed="rId32"/>
                    <a:stretch>
                      <a:fillRect/>
                    </a:stretch>
                  </pic:blipFill>
                  <pic:spPr>
                    <a:xfrm>
                      <a:off x="0" y="0"/>
                      <a:ext cx="5486400" cy="3025134"/>
                    </a:xfrm>
                    <a:prstGeom prst="rect"/>
                  </pic:spPr>
                </pic:pic>
              </a:graphicData>
            </a:graphic>
          </wp:inline>
        </w:drawing>
      </w:r>
    </w:p>
    <w:p>
      <w:r>
        <w:drawing>
          <wp:inline xmlns:a="http://schemas.openxmlformats.org/drawingml/2006/main" xmlns:pic="http://schemas.openxmlformats.org/drawingml/2006/picture">
            <wp:extent cx="5486400" cy="3265275"/>
            <wp:docPr id="25" name="Picture 25"/>
            <wp:cNvGraphicFramePr>
              <a:graphicFrameLocks noChangeAspect="1"/>
            </wp:cNvGraphicFramePr>
            <a:graphic>
              <a:graphicData uri="http://schemas.openxmlformats.org/drawingml/2006/picture">
                <pic:pic>
                  <pic:nvPicPr>
                    <pic:cNvPr id="0" name="iter6_repeat_rate_ne_entry_models.png"/>
                    <pic:cNvPicPr/>
                  </pic:nvPicPr>
                  <pic:blipFill>
                    <a:blip r:embed="rId33"/>
                    <a:stretch>
                      <a:fillRect/>
                    </a:stretch>
                  </pic:blipFill>
                  <pic:spPr>
                    <a:xfrm>
                      <a:off x="0" y="0"/>
                      <a:ext cx="5486400" cy="3265275"/>
                    </a:xfrm>
                    <a:prstGeom prst="rect"/>
                  </pic:spPr>
                </pic:pic>
              </a:graphicData>
            </a:graphic>
          </wp:inline>
        </w:drawing>
      </w:r>
    </w:p>
    <w:p>
      <w:r>
        <w:t>Within the 38 Entry-tier NE models, the durability distribution is bifurcated:</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046A38"/>
          </w:tcPr>
          <w:p>
            <w:r>
              <w:rPr>
                <w:b/>
                <w:color w:val="FFFFFF"/>
              </w:rPr>
            </w:r>
            <w:r>
              <w:rPr>
                <w:rFonts w:ascii="Arial" w:hAnsi="Arial"/>
                <w:b/>
                <w:color w:val="FFFFFF"/>
                <w:sz w:val="20"/>
              </w:rPr>
              <w:t>Durability Class</w:t>
            </w:r>
          </w:p>
        </w:tc>
        <w:tc>
          <w:tcPr>
            <w:tcW w:type="dxa" w:w="1872"/>
            <w:shd w:val="clear" w:color="auto" w:fill="046A38"/>
          </w:tcPr>
          <w:p>
            <w:r>
              <w:rPr>
                <w:b/>
                <w:color w:val="FFFFFF"/>
              </w:rPr>
            </w:r>
            <w:r>
              <w:rPr>
                <w:rFonts w:ascii="Arial" w:hAnsi="Arial"/>
                <w:b/>
                <w:color w:val="FFFFFF"/>
                <w:sz w:val="20"/>
              </w:rPr>
              <w:t>Models</w:t>
            </w:r>
          </w:p>
        </w:tc>
        <w:tc>
          <w:tcPr>
            <w:tcW w:type="dxa" w:w="1872"/>
            <w:shd w:val="clear" w:color="auto" w:fill="046A38"/>
          </w:tcPr>
          <w:p>
            <w:r>
              <w:rPr>
                <w:b/>
                <w:color w:val="FFFFFF"/>
              </w:rPr>
            </w:r>
            <w:r>
              <w:rPr>
                <w:rFonts w:ascii="Arial" w:hAnsi="Arial"/>
                <w:b/>
                <w:color w:val="FFFFFF"/>
                <w:sz w:val="20"/>
              </w:rPr>
              <w:t>LTM23 Revenue</w:t>
            </w:r>
          </w:p>
        </w:tc>
        <w:tc>
          <w:tcPr>
            <w:tcW w:type="dxa" w:w="1872"/>
            <w:shd w:val="clear" w:color="auto" w:fill="046A38"/>
          </w:tcPr>
          <w:p>
            <w:r>
              <w:rPr>
                <w:b/>
                <w:color w:val="FFFFFF"/>
              </w:rPr>
            </w:r>
            <w:r>
              <w:rPr>
                <w:rFonts w:ascii="Arial" w:hAnsi="Arial"/>
                <w:b/>
                <w:color w:val="FFFFFF"/>
                <w:sz w:val="20"/>
              </w:rPr>
              <w:t>Revenue Share</w:t>
            </w:r>
          </w:p>
        </w:tc>
        <w:tc>
          <w:tcPr>
            <w:tcW w:type="dxa" w:w="1872"/>
            <w:shd w:val="clear" w:color="auto" w:fill="046A38"/>
          </w:tcPr>
          <w:p>
            <w:r>
              <w:rPr>
                <w:b/>
                <w:color w:val="FFFFFF"/>
              </w:rPr>
            </w:r>
            <w:r>
              <w:rPr>
                <w:rFonts w:ascii="Arial" w:hAnsi="Arial"/>
                <w:b/>
                <w:color w:val="FFFFFF"/>
                <w:sz w:val="20"/>
              </w:rPr>
              <w:t>Avg +3m Retention</w:t>
            </w:r>
          </w:p>
        </w:tc>
      </w:tr>
      <w:tr>
        <w:tc>
          <w:tcPr>
            <w:tcW w:type="dxa" w:w="1872"/>
          </w:tcPr>
          <w:p>
            <w:r/>
            <w:r>
              <w:rPr>
                <w:rFonts w:ascii="Arial" w:hAnsi="Arial"/>
                <w:sz w:val="20"/>
              </w:rPr>
              <w:t>Durable (≥40%)</w:t>
            </w:r>
          </w:p>
        </w:tc>
        <w:tc>
          <w:tcPr>
            <w:tcW w:type="dxa" w:w="1872"/>
          </w:tcPr>
          <w:p>
            <w:r/>
            <w:r>
              <w:rPr>
                <w:rFonts w:ascii="Arial" w:hAnsi="Arial"/>
                <w:sz w:val="20"/>
              </w:rPr>
              <w:t>6</w:t>
            </w:r>
          </w:p>
        </w:tc>
        <w:tc>
          <w:tcPr>
            <w:tcW w:type="dxa" w:w="1872"/>
          </w:tcPr>
          <w:p>
            <w:r/>
            <w:r>
              <w:rPr>
                <w:rFonts w:ascii="Arial" w:hAnsi="Arial"/>
                <w:sz w:val="20"/>
              </w:rPr>
              <w:t>€2.93m</w:t>
            </w:r>
          </w:p>
        </w:tc>
        <w:tc>
          <w:tcPr>
            <w:tcW w:type="dxa" w:w="1872"/>
          </w:tcPr>
          <w:p>
            <w:r/>
            <w:r>
              <w:rPr>
                <w:rFonts w:ascii="Arial" w:hAnsi="Arial"/>
                <w:sz w:val="20"/>
              </w:rPr>
              <w:t>33.1%</w:t>
            </w:r>
          </w:p>
        </w:tc>
        <w:tc>
          <w:tcPr>
            <w:tcW w:type="dxa" w:w="1872"/>
          </w:tcPr>
          <w:p>
            <w:r/>
            <w:r>
              <w:rPr>
                <w:rFonts w:ascii="Arial" w:hAnsi="Arial"/>
                <w:sz w:val="20"/>
              </w:rPr>
              <w:t>60.9%</w:t>
            </w:r>
          </w:p>
        </w:tc>
      </w:tr>
      <w:tr>
        <w:tc>
          <w:tcPr>
            <w:tcW w:type="dxa" w:w="1872"/>
          </w:tcPr>
          <w:p>
            <w:r/>
            <w:r>
              <w:rPr>
                <w:rFonts w:ascii="Arial" w:hAnsi="Arial"/>
                <w:sz w:val="20"/>
              </w:rPr>
              <w:t>Mid-tier (20–40%)</w:t>
            </w:r>
          </w:p>
        </w:tc>
        <w:tc>
          <w:tcPr>
            <w:tcW w:type="dxa" w:w="1872"/>
          </w:tcPr>
          <w:p>
            <w:r/>
            <w:r>
              <w:rPr>
                <w:rFonts w:ascii="Arial" w:hAnsi="Arial"/>
                <w:sz w:val="20"/>
              </w:rPr>
              <w:t>12</w:t>
            </w:r>
          </w:p>
        </w:tc>
        <w:tc>
          <w:tcPr>
            <w:tcW w:type="dxa" w:w="1872"/>
          </w:tcPr>
          <w:p>
            <w:r/>
            <w:r>
              <w:rPr>
                <w:rFonts w:ascii="Arial" w:hAnsi="Arial"/>
                <w:sz w:val="20"/>
              </w:rPr>
              <w:t>€3.06m</w:t>
            </w:r>
          </w:p>
        </w:tc>
        <w:tc>
          <w:tcPr>
            <w:tcW w:type="dxa" w:w="1872"/>
          </w:tcPr>
          <w:p>
            <w:r/>
            <w:r>
              <w:rPr>
                <w:rFonts w:ascii="Arial" w:hAnsi="Arial"/>
                <w:sz w:val="20"/>
              </w:rPr>
              <w:t>34.7%</w:t>
            </w:r>
          </w:p>
        </w:tc>
        <w:tc>
          <w:tcPr>
            <w:tcW w:type="dxa" w:w="1872"/>
          </w:tcPr>
          <w:p>
            <w:r/>
            <w:r>
              <w:rPr>
                <w:rFonts w:ascii="Arial" w:hAnsi="Arial"/>
                <w:sz w:val="20"/>
              </w:rPr>
              <w:t>29.8%</w:t>
            </w:r>
          </w:p>
        </w:tc>
      </w:tr>
      <w:tr>
        <w:tc>
          <w:tcPr>
            <w:tcW w:type="dxa" w:w="1872"/>
          </w:tcPr>
          <w:p>
            <w:r/>
            <w:r>
              <w:rPr>
                <w:rFonts w:ascii="Arial" w:hAnsi="Arial"/>
                <w:sz w:val="20"/>
              </w:rPr>
              <w:t>Transient (&lt;20%)</w:t>
            </w:r>
          </w:p>
        </w:tc>
        <w:tc>
          <w:tcPr>
            <w:tcW w:type="dxa" w:w="1872"/>
          </w:tcPr>
          <w:p>
            <w:r/>
            <w:r>
              <w:rPr>
                <w:rFonts w:ascii="Arial" w:hAnsi="Arial"/>
                <w:sz w:val="20"/>
              </w:rPr>
              <w:t>15</w:t>
            </w:r>
          </w:p>
        </w:tc>
        <w:tc>
          <w:tcPr>
            <w:tcW w:type="dxa" w:w="1872"/>
          </w:tcPr>
          <w:p>
            <w:r/>
            <w:r>
              <w:rPr>
                <w:rFonts w:ascii="Arial" w:hAnsi="Arial"/>
                <w:sz w:val="20"/>
              </w:rPr>
              <w:t>€2.69m</w:t>
            </w:r>
          </w:p>
        </w:tc>
        <w:tc>
          <w:tcPr>
            <w:tcW w:type="dxa" w:w="1872"/>
          </w:tcPr>
          <w:p>
            <w:r/>
            <w:r>
              <w:rPr>
                <w:rFonts w:ascii="Arial" w:hAnsi="Arial"/>
                <w:sz w:val="20"/>
              </w:rPr>
              <w:t>30.4%</w:t>
            </w:r>
          </w:p>
        </w:tc>
        <w:tc>
          <w:tcPr>
            <w:tcW w:type="dxa" w:w="1872"/>
          </w:tcPr>
          <w:p>
            <w:r/>
            <w:r>
              <w:rPr>
                <w:rFonts w:ascii="Arial" w:hAnsi="Arial"/>
                <w:sz w:val="20"/>
              </w:rPr>
              <w:t>12.2%</w:t>
            </w:r>
          </w:p>
        </w:tc>
      </w:tr>
    </w:tbl>
    <w:p/>
    <w:p>
      <w:r>
        <w:t>Thirty percent of Entry NE revenue — approximately €2.7m — sits in 15 Transient models that have already demonstrated post-peak retention rates of only 12.2% on average. These models are effectively in terminal decline, and their contribution to forward revenue is negligible. The repeat-client rate for Entry NE models is 26.2%, compared with 36.9% for Stable Entry models, and average ordering frequency is 1.45 months per client versus 1.95 months — confirming that distributors are not returning to reorder NE Entry models at the rates seen for Stable counterparts.</w:t>
      </w:r>
    </w:p>
    <w:p>
      <w:r>
        <w:t>The six Durable Entry NE models — anchored by SEOUL (€926k total LTM23, 85% retention at +3m) and ATLANTIC CITY (€445k) — represent the highest-quality portion of the cohort and the closest precedent for models that could potentially migrate into the Stable category over time. Analysis of their common launch characteristics could yield meaningful insights for new product introduction strategy, though no single quantitative predictor of durability has been identified to date.</w:t>
      </w:r>
    </w:p>
    <w:p/>
    <w:p>
      <w:pPr>
        <w:pStyle w:val="Heading2"/>
      </w:pPr>
      <w:r>
        <w:rPr>
          <w:rFonts w:ascii="Arial" w:hAnsi="Arial"/>
          <w:color w:val="26890D"/>
        </w:rPr>
        <w:t>Section 6: Portfolio Breadth, ASP Tier Structure &amp; Concentration</w:t>
      </w:r>
    </w:p>
    <w:p>
      <w:pPr>
        <w:pStyle w:val="Heading3"/>
      </w:pPr>
      <w:r>
        <w:rPr>
          <w:rFonts w:ascii="Arial" w:hAnsi="Arial"/>
          <w:color w:val="26890D"/>
        </w:rPr>
        <w:t>6.1 ASP Tier Architecture</w:t>
      </w:r>
    </w:p>
    <w:p>
      <w:r/>
      <w:r>
        <w:rPr>
          <w:b/>
        </w:rPr>
        <w:t>Basis of Preparation.</w:t>
      </w:r>
      <w:r>
        <w:t xml:space="preserve"> ASP tiers were defined based on LTM23 average selling price per model: Entry (&lt;€48), Lower-Mid (€48–55), Upper-Mid (€55–65), and Premium (&gt;€65). Models without sufficient LTM23 transaction history to compute a reliable ASP were excluded from tier-level comparisons. Revenue totals, lifecycle mix, and channel distribution were computed at tier level for LTM23.</w:t>
      </w:r>
    </w:p>
    <w:p>
      <w:r>
        <w:drawing>
          <wp:inline xmlns:a="http://schemas.openxmlformats.org/drawingml/2006/main" xmlns:pic="http://schemas.openxmlformats.org/drawingml/2006/picture">
            <wp:extent cx="5486400" cy="2264717"/>
            <wp:docPr id="26" name="Picture 26"/>
            <wp:cNvGraphicFramePr>
              <a:graphicFrameLocks noChangeAspect="1"/>
            </wp:cNvGraphicFramePr>
            <a:graphic>
              <a:graphicData uri="http://schemas.openxmlformats.org/drawingml/2006/picture">
                <pic:pic>
                  <pic:nvPicPr>
                    <pic:cNvPr id="0" name="iter5_channel_mix_by_asp_tier.png"/>
                    <pic:cNvPicPr/>
                  </pic:nvPicPr>
                  <pic:blipFill>
                    <a:blip r:embed="rId34"/>
                    <a:stretch>
                      <a:fillRect/>
                    </a:stretch>
                  </pic:blipFill>
                  <pic:spPr>
                    <a:xfrm>
                      <a:off x="0" y="0"/>
                      <a:ext cx="5486400" cy="2264717"/>
                    </a:xfrm>
                    <a:prstGeom prst="rect"/>
                  </pic:spPr>
                </pic:pic>
              </a:graphicData>
            </a:graphic>
          </wp:inline>
        </w:drawing>
      </w:r>
    </w:p>
    <w:p>
      <w:r>
        <w:t>The four ASP tiers exhibit structurally distinct lifecycle profiles and channel dependencies, confirming that ASP — while not predictive of individual model durability — is the most actionable portfolio segmentation axis available in the current data.</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046A38"/>
          </w:tcPr>
          <w:p>
            <w:r>
              <w:rPr>
                <w:b/>
                <w:color w:val="FFFFFF"/>
              </w:rPr>
            </w:r>
            <w:r>
              <w:rPr>
                <w:rFonts w:ascii="Arial" w:hAnsi="Arial"/>
                <w:b/>
                <w:color w:val="FFFFFF"/>
                <w:sz w:val="20"/>
              </w:rPr>
              <w:t>ASP Tier</w:t>
            </w:r>
          </w:p>
        </w:tc>
        <w:tc>
          <w:tcPr>
            <w:tcW w:type="dxa" w:w="1560"/>
            <w:shd w:val="clear" w:color="auto" w:fill="046A38"/>
          </w:tcPr>
          <w:p>
            <w:r>
              <w:rPr>
                <w:b/>
                <w:color w:val="FFFFFF"/>
              </w:rPr>
            </w:r>
            <w:r>
              <w:rPr>
                <w:rFonts w:ascii="Arial" w:hAnsi="Arial"/>
                <w:b/>
                <w:color w:val="FFFFFF"/>
                <w:sz w:val="20"/>
              </w:rPr>
              <w:t>Avg ASP</w:t>
            </w:r>
          </w:p>
        </w:tc>
        <w:tc>
          <w:tcPr>
            <w:tcW w:type="dxa" w:w="1560"/>
            <w:shd w:val="clear" w:color="auto" w:fill="046A38"/>
          </w:tcPr>
          <w:p>
            <w:r>
              <w:rPr>
                <w:b/>
                <w:color w:val="FFFFFF"/>
              </w:rPr>
            </w:r>
            <w:r>
              <w:rPr>
                <w:rFonts w:ascii="Arial" w:hAnsi="Arial"/>
                <w:b/>
                <w:color w:val="FFFFFF"/>
                <w:sz w:val="20"/>
              </w:rPr>
              <w:t>LTM23 Revenue</w:t>
            </w:r>
          </w:p>
        </w:tc>
        <w:tc>
          <w:tcPr>
            <w:tcW w:type="dxa" w:w="1560"/>
            <w:shd w:val="clear" w:color="auto" w:fill="046A38"/>
          </w:tcPr>
          <w:p>
            <w:r>
              <w:rPr>
                <w:b/>
                <w:color w:val="FFFFFF"/>
              </w:rPr>
            </w:r>
            <w:r>
              <w:rPr>
                <w:rFonts w:ascii="Arial" w:hAnsi="Arial"/>
                <w:b/>
                <w:color w:val="FFFFFF"/>
                <w:sz w:val="20"/>
              </w:rPr>
              <w:t>Dominant Lifecycle</w:t>
            </w:r>
          </w:p>
        </w:tc>
        <w:tc>
          <w:tcPr>
            <w:tcW w:type="dxa" w:w="1560"/>
            <w:shd w:val="clear" w:color="auto" w:fill="046A38"/>
          </w:tcPr>
          <w:p>
            <w:r>
              <w:rPr>
                <w:b/>
                <w:color w:val="FFFFFF"/>
              </w:rPr>
            </w:r>
            <w:r>
              <w:rPr>
                <w:rFonts w:ascii="Arial" w:hAnsi="Arial"/>
                <w:b/>
                <w:color w:val="FFFFFF"/>
                <w:sz w:val="20"/>
              </w:rPr>
              <w:t>WS Share</w:t>
            </w:r>
          </w:p>
        </w:tc>
        <w:tc>
          <w:tcPr>
            <w:tcW w:type="dxa" w:w="1560"/>
            <w:shd w:val="clear" w:color="auto" w:fill="046A38"/>
          </w:tcPr>
          <w:p>
            <w:r>
              <w:rPr>
                <w:b/>
                <w:color w:val="FFFFFF"/>
              </w:rPr>
            </w:r>
            <w:r>
              <w:rPr>
                <w:rFonts w:ascii="Arial" w:hAnsi="Arial"/>
                <w:b/>
                <w:color w:val="FFFFFF"/>
                <w:sz w:val="20"/>
              </w:rPr>
              <w:t>Stable Rate</w:t>
            </w:r>
          </w:p>
        </w:tc>
      </w:tr>
      <w:tr>
        <w:tc>
          <w:tcPr>
            <w:tcW w:type="dxa" w:w="1560"/>
          </w:tcPr>
          <w:p>
            <w:r/>
            <w:r>
              <w:rPr>
                <w:rFonts w:ascii="Arial" w:hAnsi="Arial"/>
                <w:sz w:val="20"/>
              </w:rPr>
              <w:t>Entry (&lt;€48)</w:t>
            </w:r>
          </w:p>
        </w:tc>
        <w:tc>
          <w:tcPr>
            <w:tcW w:type="dxa" w:w="1560"/>
          </w:tcPr>
          <w:p>
            <w:r/>
            <w:r>
              <w:rPr>
                <w:rFonts w:ascii="Arial" w:hAnsi="Arial"/>
                <w:sz w:val="20"/>
              </w:rPr>
              <w:t>~€35</w:t>
            </w:r>
          </w:p>
        </w:tc>
        <w:tc>
          <w:tcPr>
            <w:tcW w:type="dxa" w:w="1560"/>
          </w:tcPr>
          <w:p>
            <w:r/>
            <w:r>
              <w:rPr>
                <w:rFonts w:ascii="Arial" w:hAnsi="Arial"/>
                <w:sz w:val="20"/>
              </w:rPr>
              <w:t>€14.3m</w:t>
            </w:r>
          </w:p>
        </w:tc>
        <w:tc>
          <w:tcPr>
            <w:tcW w:type="dxa" w:w="1560"/>
          </w:tcPr>
          <w:p>
            <w:r/>
            <w:r>
              <w:rPr>
                <w:rFonts w:ascii="Arial" w:hAnsi="Arial"/>
                <w:sz w:val="20"/>
              </w:rPr>
              <w:t>New Entrant (NE-heavy)</w:t>
            </w:r>
          </w:p>
        </w:tc>
        <w:tc>
          <w:tcPr>
            <w:tcW w:type="dxa" w:w="1560"/>
          </w:tcPr>
          <w:p>
            <w:r/>
            <w:r>
              <w:rPr>
                <w:rFonts w:ascii="Arial" w:hAnsi="Arial"/>
                <w:sz w:val="20"/>
              </w:rPr>
              <w:t>71.5%</w:t>
            </w:r>
          </w:p>
        </w:tc>
        <w:tc>
          <w:tcPr>
            <w:tcW w:type="dxa" w:w="1560"/>
          </w:tcPr>
          <w:p>
            <w:r/>
            <w:r>
              <w:rPr>
                <w:rFonts w:ascii="Arial" w:hAnsi="Arial"/>
                <w:sz w:val="20"/>
              </w:rPr>
              <w:t>Moderate</w:t>
            </w:r>
          </w:p>
        </w:tc>
      </w:tr>
      <w:tr>
        <w:tc>
          <w:tcPr>
            <w:tcW w:type="dxa" w:w="1560"/>
          </w:tcPr>
          <w:p>
            <w:r/>
            <w:r>
              <w:rPr>
                <w:rFonts w:ascii="Arial" w:hAnsi="Arial"/>
                <w:sz w:val="20"/>
              </w:rPr>
              <w:t>Lower-Mid (€48–55)</w:t>
            </w:r>
          </w:p>
        </w:tc>
        <w:tc>
          <w:tcPr>
            <w:tcW w:type="dxa" w:w="1560"/>
          </w:tcPr>
          <w:p>
            <w:r/>
            <w:r>
              <w:rPr>
                <w:rFonts w:ascii="Arial" w:hAnsi="Arial"/>
                <w:sz w:val="20"/>
              </w:rPr>
              <w:t>~€51</w:t>
            </w:r>
          </w:p>
        </w:tc>
        <w:tc>
          <w:tcPr>
            <w:tcW w:type="dxa" w:w="1560"/>
          </w:tcPr>
          <w:p>
            <w:r/>
            <w:r>
              <w:rPr>
                <w:rFonts w:ascii="Arial" w:hAnsi="Arial"/>
                <w:sz w:val="20"/>
              </w:rPr>
              <w:t>—</w:t>
            </w:r>
          </w:p>
        </w:tc>
        <w:tc>
          <w:tcPr>
            <w:tcW w:type="dxa" w:w="1560"/>
          </w:tcPr>
          <w:p>
            <w:r/>
            <w:r>
              <w:rPr>
                <w:rFonts w:ascii="Arial" w:hAnsi="Arial"/>
                <w:sz w:val="20"/>
              </w:rPr>
              <w:t>Mixed</w:t>
            </w:r>
          </w:p>
        </w:tc>
        <w:tc>
          <w:tcPr>
            <w:tcW w:type="dxa" w:w="1560"/>
          </w:tcPr>
          <w:p>
            <w:r/>
            <w:r>
              <w:rPr>
                <w:rFonts w:ascii="Arial" w:hAnsi="Arial"/>
                <w:sz w:val="20"/>
              </w:rPr>
              <w:t>~60%</w:t>
            </w:r>
          </w:p>
        </w:tc>
        <w:tc>
          <w:tcPr>
            <w:tcW w:type="dxa" w:w="1560"/>
          </w:tcPr>
          <w:p>
            <w:r/>
            <w:r>
              <w:rPr>
                <w:rFonts w:ascii="Arial" w:hAnsi="Arial"/>
                <w:sz w:val="20"/>
              </w:rPr>
              <w:t>Moderate</w:t>
            </w:r>
          </w:p>
        </w:tc>
      </w:tr>
      <w:tr>
        <w:tc>
          <w:tcPr>
            <w:tcW w:type="dxa" w:w="1560"/>
          </w:tcPr>
          <w:p>
            <w:r/>
            <w:r>
              <w:rPr>
                <w:rFonts w:ascii="Arial" w:hAnsi="Arial"/>
                <w:sz w:val="20"/>
              </w:rPr>
              <w:t>Upper-Mid (€55–65)</w:t>
            </w:r>
          </w:p>
        </w:tc>
        <w:tc>
          <w:tcPr>
            <w:tcW w:type="dxa" w:w="1560"/>
          </w:tcPr>
          <w:p>
            <w:r/>
            <w:r>
              <w:rPr>
                <w:rFonts w:ascii="Arial" w:hAnsi="Arial"/>
                <w:sz w:val="20"/>
              </w:rPr>
              <w:t>~€60</w:t>
            </w:r>
          </w:p>
        </w:tc>
        <w:tc>
          <w:tcPr>
            <w:tcW w:type="dxa" w:w="1560"/>
          </w:tcPr>
          <w:p>
            <w:r/>
            <w:r>
              <w:rPr>
                <w:rFonts w:ascii="Arial" w:hAnsi="Arial"/>
                <w:sz w:val="20"/>
              </w:rPr>
              <w:t>—</w:t>
            </w:r>
          </w:p>
        </w:tc>
        <w:tc>
          <w:tcPr>
            <w:tcW w:type="dxa" w:w="1560"/>
          </w:tcPr>
          <w:p>
            <w:r/>
            <w:r>
              <w:rPr>
                <w:rFonts w:ascii="Arial" w:hAnsi="Arial"/>
                <w:sz w:val="20"/>
              </w:rPr>
              <w:t>Mixed</w:t>
            </w:r>
          </w:p>
        </w:tc>
        <w:tc>
          <w:tcPr>
            <w:tcW w:type="dxa" w:w="1560"/>
          </w:tcPr>
          <w:p>
            <w:r/>
            <w:r>
              <w:rPr>
                <w:rFonts w:ascii="Arial" w:hAnsi="Arial"/>
                <w:sz w:val="20"/>
              </w:rPr>
              <w:t>~55%</w:t>
            </w:r>
          </w:p>
        </w:tc>
        <w:tc>
          <w:tcPr>
            <w:tcW w:type="dxa" w:w="1560"/>
          </w:tcPr>
          <w:p>
            <w:r/>
            <w:r>
              <w:rPr>
                <w:rFonts w:ascii="Arial" w:hAnsi="Arial"/>
                <w:sz w:val="20"/>
              </w:rPr>
              <w:t>Moderate</w:t>
            </w:r>
          </w:p>
        </w:tc>
      </w:tr>
      <w:tr>
        <w:tc>
          <w:tcPr>
            <w:tcW w:type="dxa" w:w="1560"/>
          </w:tcPr>
          <w:p>
            <w:r/>
            <w:r>
              <w:rPr>
                <w:rFonts w:ascii="Arial" w:hAnsi="Arial"/>
                <w:sz w:val="20"/>
              </w:rPr>
              <w:t>Premium (&gt;€65)</w:t>
            </w:r>
          </w:p>
        </w:tc>
        <w:tc>
          <w:tcPr>
            <w:tcW w:type="dxa" w:w="1560"/>
          </w:tcPr>
          <w:p>
            <w:r/>
            <w:r>
              <w:rPr>
                <w:rFonts w:ascii="Arial" w:hAnsi="Arial"/>
                <w:sz w:val="20"/>
              </w:rPr>
              <w:t>~€70</w:t>
            </w:r>
          </w:p>
        </w:tc>
        <w:tc>
          <w:tcPr>
            <w:tcW w:type="dxa" w:w="1560"/>
          </w:tcPr>
          <w:p>
            <w:r/>
            <w:r>
              <w:rPr>
                <w:rFonts w:ascii="Arial" w:hAnsi="Arial"/>
                <w:sz w:val="20"/>
              </w:rPr>
              <w:t>~€5.0m</w:t>
            </w:r>
          </w:p>
        </w:tc>
        <w:tc>
          <w:tcPr>
            <w:tcW w:type="dxa" w:w="1560"/>
          </w:tcPr>
          <w:p>
            <w:r/>
            <w:r>
              <w:rPr>
                <w:rFonts w:ascii="Arial" w:hAnsi="Arial"/>
                <w:sz w:val="20"/>
              </w:rPr>
              <w:t>Stable</w:t>
            </w:r>
          </w:p>
        </w:tc>
        <w:tc>
          <w:tcPr>
            <w:tcW w:type="dxa" w:w="1560"/>
          </w:tcPr>
          <w:p>
            <w:r/>
            <w:r>
              <w:rPr>
                <w:rFonts w:ascii="Arial" w:hAnsi="Arial"/>
                <w:sz w:val="20"/>
              </w:rPr>
              <w:t>20.2%</w:t>
            </w:r>
          </w:p>
        </w:tc>
        <w:tc>
          <w:tcPr>
            <w:tcW w:type="dxa" w:w="1560"/>
          </w:tcPr>
          <w:p>
            <w:r/>
            <w:r>
              <w:rPr>
                <w:rFonts w:ascii="Arial" w:hAnsi="Arial"/>
                <w:sz w:val="20"/>
              </w:rPr>
              <w:t>84.2%</w:t>
            </w:r>
          </w:p>
        </w:tc>
      </w:tr>
    </w:tbl>
    <w:p/>
    <w:p>
      <w:r>
        <w:t>The Premium tier (models priced above €65) stands apart from the rest of the portfolio: it exhibits an 84.2% Stable model rate, a balanced channel mix (43.9% Online, 35.9% Retail, 20.2% Wholesale), and the lowest New Entrant dependency. This tier is the most structurally resilient portion of the portfolio and the closest analogue to a sustainable, catalogue-based revenue model. Its limited size (~€5m, or approximately 14% of LTM23 revenue) and modest growth rate (+39% FY2021→FY2022 versus +204% for Entry) reflect its current secondary status in the commercial model.</w:t>
      </w:r>
    </w:p>
    <w:p>
      <w:pPr>
        <w:pStyle w:val="Heading3"/>
      </w:pPr>
      <w:r>
        <w:rPr>
          <w:rFonts w:ascii="Arial" w:hAnsi="Arial"/>
          <w:color w:val="26890D"/>
        </w:rPr>
        <w:t>6.2 Top Model Concentration and Portfolio Breadth</w:t>
      </w:r>
    </w:p>
    <w:p>
      <w:r>
        <w:drawing>
          <wp:inline xmlns:a="http://schemas.openxmlformats.org/drawingml/2006/main" xmlns:pic="http://schemas.openxmlformats.org/drawingml/2006/picture">
            <wp:extent cx="5486400" cy="3630977"/>
            <wp:docPr id="27" name="Picture 27"/>
            <wp:cNvGraphicFramePr>
              <a:graphicFrameLocks noChangeAspect="1"/>
            </wp:cNvGraphicFramePr>
            <a:graphic>
              <a:graphicData uri="http://schemas.openxmlformats.org/drawingml/2006/picture">
                <pic:pic>
                  <pic:nvPicPr>
                    <pic:cNvPr id="0" name="iter1_top20_models_trajectory.png"/>
                    <pic:cNvPicPr/>
                  </pic:nvPicPr>
                  <pic:blipFill>
                    <a:blip r:embed="rId35"/>
                    <a:stretch>
                      <a:fillRect/>
                    </a:stretch>
                  </pic:blipFill>
                  <pic:spPr>
                    <a:xfrm>
                      <a:off x="0" y="0"/>
                      <a:ext cx="5486400" cy="3630977"/>
                    </a:xfrm>
                    <a:prstGeom prst="rect"/>
                  </pic:spPr>
                </pic:pic>
              </a:graphicData>
            </a:graphic>
          </wp:inline>
        </w:drawing>
      </w:r>
    </w:p>
    <w:p>
      <w:r>
        <w:t>The portfolio spans 398 distinct models — a breadth that is unusual for a business at this revenue scale and reflects the fashion-driven, high-turnover nature of the product strategy. Top model concentration is low in absolute terms: the top 20 models account for 39% of LTM23 revenue, and no single model exceeds 3.8% share. The top 15 models represent 28.9% of cumulative period revenue. This fragmentation is structurally protective against single-SKU concentration risk, but it simultaneously makes active portfolio management — identifying and investing in durable models while rationalising Transient ones — both more necessary and more operationally complex.</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046A38"/>
          </w:tcPr>
          <w:p>
            <w:r>
              <w:rPr>
                <w:b/>
                <w:color w:val="FFFFFF"/>
              </w:rPr>
            </w:r>
            <w:r>
              <w:rPr>
                <w:rFonts w:ascii="Arial" w:hAnsi="Arial"/>
                <w:b/>
                <w:color w:val="FFFFFF"/>
                <w:sz w:val="20"/>
              </w:rPr>
              <w:t>Concentration Measure</w:t>
            </w:r>
          </w:p>
        </w:tc>
        <w:tc>
          <w:tcPr>
            <w:tcW w:type="dxa" w:w="2340"/>
            <w:shd w:val="clear" w:color="auto" w:fill="046A38"/>
          </w:tcPr>
          <w:p>
            <w:r>
              <w:rPr>
                <w:b/>
                <w:color w:val="FFFFFF"/>
              </w:rPr>
            </w:r>
            <w:r>
              <w:rPr>
                <w:rFonts w:ascii="Arial" w:hAnsi="Arial"/>
                <w:b/>
                <w:color w:val="FFFFFF"/>
                <w:sz w:val="20"/>
              </w:rPr>
              <w:t>FY2021</w:t>
            </w:r>
          </w:p>
        </w:tc>
        <w:tc>
          <w:tcPr>
            <w:tcW w:type="dxa" w:w="2340"/>
            <w:shd w:val="clear" w:color="auto" w:fill="046A38"/>
          </w:tcPr>
          <w:p>
            <w:r>
              <w:rPr>
                <w:b/>
                <w:color w:val="FFFFFF"/>
              </w:rPr>
            </w:r>
            <w:r>
              <w:rPr>
                <w:rFonts w:ascii="Arial" w:hAnsi="Arial"/>
                <w:b/>
                <w:color w:val="FFFFFF"/>
                <w:sz w:val="20"/>
              </w:rPr>
              <w:t>FY2022</w:t>
            </w:r>
          </w:p>
        </w:tc>
        <w:tc>
          <w:tcPr>
            <w:tcW w:type="dxa" w:w="2340"/>
            <w:shd w:val="clear" w:color="auto" w:fill="046A38"/>
          </w:tcPr>
          <w:p>
            <w:r>
              <w:rPr>
                <w:b/>
                <w:color w:val="FFFFFF"/>
              </w:rPr>
            </w:r>
            <w:r>
              <w:rPr>
                <w:rFonts w:ascii="Arial" w:hAnsi="Arial"/>
                <w:b/>
                <w:color w:val="FFFFFF"/>
                <w:sz w:val="20"/>
              </w:rPr>
              <w:t>LTM23</w:t>
            </w:r>
          </w:p>
        </w:tc>
      </w:tr>
      <w:tr>
        <w:tc>
          <w:tcPr>
            <w:tcW w:type="dxa" w:w="2340"/>
          </w:tcPr>
          <w:p>
            <w:r/>
            <w:r>
              <w:rPr>
                <w:rFonts w:ascii="Arial" w:hAnsi="Arial"/>
                <w:sz w:val="20"/>
              </w:rPr>
              <w:t>Top 5 models (revenue share)</w:t>
            </w:r>
          </w:p>
        </w:tc>
        <w:tc>
          <w:tcPr>
            <w:tcW w:type="dxa" w:w="2340"/>
          </w:tcPr>
          <w:p>
            <w:r/>
            <w:r>
              <w:rPr>
                <w:rFonts w:ascii="Arial" w:hAnsi="Arial"/>
                <w:sz w:val="20"/>
              </w:rPr>
              <w:t>—</w:t>
            </w:r>
          </w:p>
        </w:tc>
        <w:tc>
          <w:tcPr>
            <w:tcW w:type="dxa" w:w="2340"/>
          </w:tcPr>
          <w:p>
            <w:r/>
            <w:r>
              <w:rPr>
                <w:rFonts w:ascii="Arial" w:hAnsi="Arial"/>
                <w:sz w:val="20"/>
              </w:rPr>
              <w:t>—</w:t>
            </w:r>
          </w:p>
        </w:tc>
        <w:tc>
          <w:tcPr>
            <w:tcW w:type="dxa" w:w="2340"/>
          </w:tcPr>
          <w:p>
            <w:r/>
            <w:r>
              <w:rPr>
                <w:rFonts w:ascii="Arial" w:hAnsi="Arial"/>
                <w:sz w:val="20"/>
              </w:rPr>
              <w:t>~15%</w:t>
            </w:r>
          </w:p>
        </w:tc>
      </w:tr>
      <w:tr>
        <w:tc>
          <w:tcPr>
            <w:tcW w:type="dxa" w:w="2340"/>
          </w:tcPr>
          <w:p>
            <w:r/>
            <w:r>
              <w:rPr>
                <w:rFonts w:ascii="Arial" w:hAnsi="Arial"/>
                <w:sz w:val="20"/>
              </w:rPr>
              <w:t>Top 20 models (revenue share)</w:t>
            </w:r>
          </w:p>
        </w:tc>
        <w:tc>
          <w:tcPr>
            <w:tcW w:type="dxa" w:w="2340"/>
          </w:tcPr>
          <w:p>
            <w:r/>
            <w:r>
              <w:rPr>
                <w:rFonts w:ascii="Arial" w:hAnsi="Arial"/>
                <w:sz w:val="20"/>
              </w:rPr>
              <w:t>—</w:t>
            </w:r>
          </w:p>
        </w:tc>
        <w:tc>
          <w:tcPr>
            <w:tcW w:type="dxa" w:w="2340"/>
          </w:tcPr>
          <w:p>
            <w:r/>
            <w:r>
              <w:rPr>
                <w:rFonts w:ascii="Arial" w:hAnsi="Arial"/>
                <w:sz w:val="20"/>
              </w:rPr>
              <w:t>—</w:t>
            </w:r>
          </w:p>
        </w:tc>
        <w:tc>
          <w:tcPr>
            <w:tcW w:type="dxa" w:w="2340"/>
          </w:tcPr>
          <w:p>
            <w:r/>
            <w:r>
              <w:rPr>
                <w:rFonts w:ascii="Arial" w:hAnsi="Arial"/>
                <w:sz w:val="20"/>
              </w:rPr>
              <w:t>39%</w:t>
            </w:r>
          </w:p>
        </w:tc>
      </w:tr>
      <w:tr>
        <w:tc>
          <w:tcPr>
            <w:tcW w:type="dxa" w:w="2340"/>
          </w:tcPr>
          <w:p>
            <w:r/>
            <w:r>
              <w:rPr>
                <w:rFonts w:ascii="Arial" w:hAnsi="Arial"/>
                <w:sz w:val="20"/>
              </w:rPr>
              <w:t>Total active models</w:t>
            </w:r>
          </w:p>
        </w:tc>
        <w:tc>
          <w:tcPr>
            <w:tcW w:type="dxa" w:w="2340"/>
          </w:tcPr>
          <w:p>
            <w:r/>
            <w:r>
              <w:rPr>
                <w:rFonts w:ascii="Arial" w:hAnsi="Arial"/>
                <w:sz w:val="20"/>
              </w:rPr>
              <w:t>~150</w:t>
            </w:r>
          </w:p>
        </w:tc>
        <w:tc>
          <w:tcPr>
            <w:tcW w:type="dxa" w:w="2340"/>
          </w:tcPr>
          <w:p>
            <w:r/>
            <w:r>
              <w:rPr>
                <w:rFonts w:ascii="Arial" w:hAnsi="Arial"/>
                <w:sz w:val="20"/>
              </w:rPr>
              <w:t>~280</w:t>
            </w:r>
          </w:p>
        </w:tc>
        <w:tc>
          <w:tcPr>
            <w:tcW w:type="dxa" w:w="2340"/>
          </w:tcPr>
          <w:p>
            <w:r/>
            <w:r>
              <w:rPr>
                <w:rFonts w:ascii="Arial" w:hAnsi="Arial"/>
                <w:sz w:val="20"/>
              </w:rPr>
              <w:t>~300</w:t>
            </w:r>
          </w:p>
        </w:tc>
      </w:tr>
      <w:tr>
        <w:tc>
          <w:tcPr>
            <w:tcW w:type="dxa" w:w="2340"/>
          </w:tcPr>
          <w:p>
            <w:r/>
            <w:r>
              <w:rPr>
                <w:rFonts w:ascii="Arial" w:hAnsi="Arial"/>
                <w:sz w:val="20"/>
              </w:rPr>
              <w:t>Portfolio HHI (product)</w:t>
            </w:r>
          </w:p>
        </w:tc>
        <w:tc>
          <w:tcPr>
            <w:tcW w:type="dxa" w:w="2340"/>
          </w:tcPr>
          <w:p>
            <w:r/>
            <w:r>
              <w:rPr>
                <w:rFonts w:ascii="Arial" w:hAnsi="Arial"/>
                <w:sz w:val="20"/>
              </w:rPr>
              <w:t>—</w:t>
            </w:r>
          </w:p>
        </w:tc>
        <w:tc>
          <w:tcPr>
            <w:tcW w:type="dxa" w:w="2340"/>
          </w:tcPr>
          <w:p>
            <w:r/>
            <w:r>
              <w:rPr>
                <w:rFonts w:ascii="Arial" w:hAnsi="Arial"/>
                <w:sz w:val="20"/>
              </w:rPr>
              <w:t>—</w:t>
            </w:r>
          </w:p>
        </w:tc>
        <w:tc>
          <w:tcPr>
            <w:tcW w:type="dxa" w:w="2340"/>
          </w:tcPr>
          <w:p>
            <w:r/>
            <w:r>
              <w:rPr>
                <w:rFonts w:ascii="Arial" w:hAnsi="Arial"/>
                <w:sz w:val="20"/>
              </w:rPr>
              <w:t>Low</w:t>
            </w:r>
          </w:p>
        </w:tc>
      </w:tr>
    </w:tbl>
    <w:p/>
    <w:p>
      <w:r>
        <w:t>The model naming convention — city-based names for approximately 70% of single-word models (e.g., SEOUL, MILWAUKEE, EDINBURGH, ATLANTIC CITY) — does not support a viable family taxonomy. Of 353 unique model name prefixes, only 31 span two or more models, and compound/collection models (e.g., the HIGHLAND series — a set of four puffer jacket colorways; the LOMBARDIA group — four t-shirt variants) collectively account for only 10.6% of LTM23 revenue (€3.84m) and declined –3.5% in LTM23 versus +12.4% growth for single-word models. Product family clustering does not offer an incremental analytical lens beyond ASP tier.</w:t>
      </w:r>
    </w:p>
    <w:p>
      <w:r>
        <w:drawing>
          <wp:inline xmlns:a="http://schemas.openxmlformats.org/drawingml/2006/main" xmlns:pic="http://schemas.openxmlformats.org/drawingml/2006/picture">
            <wp:extent cx="5486400" cy="2332115"/>
            <wp:docPr id="28" name="Picture 28"/>
            <wp:cNvGraphicFramePr>
              <a:graphicFrameLocks noChangeAspect="1"/>
            </wp:cNvGraphicFramePr>
            <a:graphic>
              <a:graphicData uri="http://schemas.openxmlformats.org/drawingml/2006/picture">
                <pic:pic>
                  <pic:nvPicPr>
                    <pic:cNvPr id="0" name="iter5_top25_family_revenue_trend.png"/>
                    <pic:cNvPicPr/>
                  </pic:nvPicPr>
                  <pic:blipFill>
                    <a:blip r:embed="rId36"/>
                    <a:stretch>
                      <a:fillRect/>
                    </a:stretch>
                  </pic:blipFill>
                  <pic:spPr>
                    <a:xfrm>
                      <a:off x="0" y="0"/>
                      <a:ext cx="5486400" cy="2332115"/>
                    </a:xfrm>
                    <a:prstGeom prst="rect"/>
                  </pic:spPr>
                </pic:pic>
              </a:graphicData>
            </a:graphic>
          </wp:inline>
        </w:drawing>
      </w:r>
    </w:p>
    <w:p/>
    <w:p>
      <w:pPr>
        <w:pStyle w:val="Heading2"/>
      </w:pPr>
      <w:r>
        <w:rPr>
          <w:rFonts w:ascii="Arial" w:hAnsi="Arial"/>
          <w:color w:val="26890D"/>
        </w:rPr>
        <w:t>Section 7: Key Risk Factors and Forward Outlook</w:t>
      </w:r>
    </w:p>
    <w:p>
      <w:pPr>
        <w:pStyle w:val="Heading3"/>
      </w:pPr>
      <w:r>
        <w:rPr>
          <w:rFonts w:ascii="Arial" w:hAnsi="Arial"/>
          <w:color w:val="26890D"/>
        </w:rPr>
        <w:t>7.1 The Pipeline Deceleration Risk</w:t>
      </w:r>
    </w:p>
    <w:p>
      <w:r>
        <w:t>The most pressing forward risk is the deceleration of the New Entrant launch pipeline, compounded by the structural treadmill nature of the business model. As established in Sections 2 and 5, the current revenue base depends on continuous NE model introductions to replace decaying prior cohorts. In FY2022, 32 new Entry-tier models were introduced; in LTM23, only 3. Even assuming the non-Entry tiers maintained their introduction cadences, this is a near-total halt in the primary growth segment.</w:t>
      </w:r>
    </w:p>
    <w:p>
      <w:r>
        <w:t>The quantitative implication is direct: the FY2022 H1 NE Entry cohort alone peaked at €2.1m before decaying to €188k. If no new cohorts are introduced to replace these decaying models, the rolling substitution mechanism breaks down and aggregate revenue contracts. The business is, in effect, carrying a structural forward revenue gap that can only be closed through new product introductions or through the emergence of additional Durable models from the existing NE pool — neither of which is assured.</w:t>
      </w:r>
    </w:p>
    <w:p>
      <w:pPr>
        <w:pStyle w:val="Heading3"/>
      </w:pPr>
      <w:r>
        <w:rPr>
          <w:rFonts w:ascii="Arial" w:hAnsi="Arial"/>
          <w:color w:val="26890D"/>
        </w:rPr>
        <w:t>7.2 Wholesale LfL Reversal</w:t>
      </w:r>
    </w:p>
    <w:p>
      <w:r>
        <w:t>The reversal of wholesale LfL growth from +62.1% (FY2021→FY2022) to –1.6% (LTM23) among returning clients represents a fundamental shift in the growth quality of the dominant revenue channel. If this trend reflects a secular normalisation of ordering behaviour following the FY2022 demand peak — rather than a temporary adjustment — then future wholesale revenue growth will depend entirely on new client acquisition at declining average order values. At the current trajectory of average new client revenue (€3,810 in LTM23), each new account generates roughly half the revenue of a new account in FY2022 (€6,883), implying that account-count growth must more than double to sustain the same revenue increment.</w:t>
      </w:r>
    </w:p>
    <w:p>
      <w:pPr>
        <w:pStyle w:val="Heading3"/>
      </w:pPr>
      <w:r>
        <w:rPr>
          <w:rFonts w:ascii="Arial" w:hAnsi="Arial"/>
          <w:color w:val="26890D"/>
        </w:rPr>
        <w:t>7.3 Transient NE Model Revenue at Risk</w:t>
      </w:r>
    </w:p>
    <w:p>
      <w:r>
        <w:t>The €2.7m currently held in 15 Transient NE Entry models represents identifiable at-risk revenue. These models have demonstrated post-peak retention of approximately 12%, meaning that the vast majority of this revenue will not recur in forward periods. When combined with the broader Bust cohort (currently €2.1m, declining), the total near-term revenue base subject to structural decay is in the range of €4–5m — or approximately 11–14% of LTM23 total revenue. This erosion is manageable if offset by new launches, but the slowing pipeline raises the question of whether the offset will be sufficient.</w:t>
      </w:r>
    </w:p>
    <w:p>
      <w:pPr>
        <w:pStyle w:val="Heading3"/>
      </w:pPr>
      <w:r>
        <w:rPr>
          <w:rFonts w:ascii="Arial" w:hAnsi="Arial"/>
          <w:color w:val="26890D"/>
        </w:rPr>
        <w:t>7.4 Online Channel Single-Client Dependency</w:t>
      </w:r>
    </w:p>
    <w:p>
      <w:r>
        <w:t>The Online channel — representing €7.8m (21.7% of LTM23 revenue) at an AOV of €3,958, approximately 4.8 times the wholesale level — is served by a single client throughout the entire observation period. This creates a revenue-at-risk profile that is asymmetric relative to the diversified wholesale base: the loss of this single relationship would remove more than one-fifth of total company revenue immediately. The mild ASP compression observed within this channel (€79.15 → €75.23 across the period) warrants monitoring as a potential signal of either pricing pressure or product mix deterioration within the relationship.</w:t>
      </w:r>
    </w:p>
    <w:p/>
    <w:p>
      <w:pPr>
        <w:pStyle w:val="Heading2"/>
      </w:pPr>
      <w:r>
        <w:rPr>
          <w:rFonts w:ascii="Arial" w:hAnsi="Arial"/>
          <w:color w:val="26890D"/>
        </w:rPr>
        <w:t>Glossary</w:t>
      </w:r>
    </w:p>
    <w:tbl>
      <w:tblPr>
        <w:tblStyle w:val="TableGrid"/>
        <w:tblW w:type="auto" w:w="0"/>
        <w:tblLook w:firstColumn="1" w:firstRow="1" w:lastColumn="0" w:lastRow="0" w:noHBand="0" w:noVBand="1" w:val="04A0"/>
      </w:tblPr>
      <w:tblGrid>
        <w:gridCol w:w="4680"/>
        <w:gridCol w:w="4680"/>
      </w:tblGrid>
      <w:tr>
        <w:tc>
          <w:tcPr>
            <w:tcW w:type="dxa" w:w="4680"/>
            <w:shd w:val="clear" w:color="auto" w:fill="046A38"/>
          </w:tcPr>
          <w:p>
            <w:r>
              <w:rPr>
                <w:b/>
                <w:color w:val="FFFFFF"/>
              </w:rPr>
            </w:r>
            <w:r>
              <w:rPr>
                <w:rFonts w:ascii="Arial" w:hAnsi="Arial"/>
                <w:b/>
                <w:color w:val="FFFFFF"/>
                <w:sz w:val="20"/>
              </w:rPr>
              <w:t>Term</w:t>
            </w:r>
          </w:p>
        </w:tc>
        <w:tc>
          <w:tcPr>
            <w:tcW w:type="dxa" w:w="4680"/>
            <w:shd w:val="clear" w:color="auto" w:fill="046A38"/>
          </w:tcPr>
          <w:p>
            <w:r>
              <w:rPr>
                <w:b/>
                <w:color w:val="FFFFFF"/>
              </w:rPr>
            </w:r>
            <w:r>
              <w:rPr>
                <w:rFonts w:ascii="Arial" w:hAnsi="Arial"/>
                <w:b/>
                <w:color w:val="FFFFFF"/>
                <w:sz w:val="20"/>
              </w:rPr>
              <w:t>Definition</w:t>
            </w:r>
          </w:p>
        </w:tc>
      </w:tr>
      <w:tr>
        <w:tc>
          <w:tcPr>
            <w:tcW w:type="dxa" w:w="4680"/>
          </w:tcPr>
          <w:p>
            <w:r/>
            <w:r>
              <w:rPr>
                <w:rFonts w:ascii="Arial" w:hAnsi="Arial"/>
                <w:sz w:val="20"/>
              </w:rPr>
            </w:r>
            <w:r>
              <w:rPr>
                <w:rFonts w:ascii="Arial" w:hAnsi="Arial"/>
                <w:b/>
                <w:sz w:val="20"/>
              </w:rPr>
              <w:t>AOV</w:t>
            </w:r>
            <w:r>
              <w:rPr>
                <w:rFonts w:ascii="Arial" w:hAnsi="Arial"/>
                <w:sz w:val="20"/>
              </w:rPr>
            </w:r>
          </w:p>
        </w:tc>
        <w:tc>
          <w:tcPr>
            <w:tcW w:type="dxa" w:w="4680"/>
          </w:tcPr>
          <w:p>
            <w:r/>
            <w:r>
              <w:rPr>
                <w:rFonts w:ascii="Arial" w:hAnsi="Arial"/>
                <w:sz w:val="20"/>
              </w:rPr>
              <w:t>Average Order Value — total channel revenue divided by the number of transactions in a given period.</w:t>
            </w:r>
          </w:p>
        </w:tc>
      </w:tr>
      <w:tr>
        <w:tc>
          <w:tcPr>
            <w:tcW w:type="dxa" w:w="4680"/>
          </w:tcPr>
          <w:p>
            <w:r/>
            <w:r>
              <w:rPr>
                <w:rFonts w:ascii="Arial" w:hAnsi="Arial"/>
                <w:sz w:val="20"/>
              </w:rPr>
            </w:r>
            <w:r>
              <w:rPr>
                <w:rFonts w:ascii="Arial" w:hAnsi="Arial"/>
                <w:b/>
                <w:sz w:val="20"/>
              </w:rPr>
              <w:t>ASP</w:t>
            </w:r>
            <w:r>
              <w:rPr>
                <w:rFonts w:ascii="Arial" w:hAnsi="Arial"/>
                <w:sz w:val="20"/>
              </w:rPr>
            </w:r>
          </w:p>
        </w:tc>
        <w:tc>
          <w:tcPr>
            <w:tcW w:type="dxa" w:w="4680"/>
          </w:tcPr>
          <w:p>
            <w:r/>
            <w:r>
              <w:rPr>
                <w:rFonts w:ascii="Arial" w:hAnsi="Arial"/>
                <w:sz w:val="20"/>
              </w:rPr>
              <w:t>Average Selling Price — total revenue divided by net units sold. Used as a proxy for price tier.</w:t>
            </w:r>
          </w:p>
        </w:tc>
      </w:tr>
      <w:tr>
        <w:tc>
          <w:tcPr>
            <w:tcW w:type="dxa" w:w="4680"/>
          </w:tcPr>
          <w:p>
            <w:r/>
            <w:r>
              <w:rPr>
                <w:rFonts w:ascii="Arial" w:hAnsi="Arial"/>
                <w:sz w:val="20"/>
              </w:rPr>
            </w:r>
            <w:r>
              <w:rPr>
                <w:rFonts w:ascii="Arial" w:hAnsi="Arial"/>
                <w:b/>
                <w:sz w:val="20"/>
              </w:rPr>
              <w:t>Boom</w:t>
            </w:r>
            <w:r>
              <w:rPr>
                <w:rFonts w:ascii="Arial" w:hAnsi="Arial"/>
                <w:sz w:val="20"/>
              </w:rPr>
            </w:r>
          </w:p>
        </w:tc>
        <w:tc>
          <w:tcPr>
            <w:tcW w:type="dxa" w:w="4680"/>
          </w:tcPr>
          <w:p>
            <w:r/>
            <w:r>
              <w:rPr>
                <w:rFonts w:ascii="Arial" w:hAnsi="Arial"/>
                <w:sz w:val="20"/>
              </w:rPr>
              <w:t>Lifecycle classification for models that exhibited rapid revenue growth during the observation period but have not yet been observed through a full decay cycle. Distinct from New Entrant in that some prior-period revenue exists.</w:t>
            </w:r>
          </w:p>
        </w:tc>
      </w:tr>
      <w:tr>
        <w:tc>
          <w:tcPr>
            <w:tcW w:type="dxa" w:w="4680"/>
          </w:tcPr>
          <w:p>
            <w:r/>
            <w:r>
              <w:rPr>
                <w:rFonts w:ascii="Arial" w:hAnsi="Arial"/>
                <w:sz w:val="20"/>
              </w:rPr>
            </w:r>
            <w:r>
              <w:rPr>
                <w:rFonts w:ascii="Arial" w:hAnsi="Arial"/>
                <w:b/>
                <w:sz w:val="20"/>
              </w:rPr>
              <w:t>Breakout NE</w:t>
            </w:r>
            <w:r>
              <w:rPr>
                <w:rFonts w:ascii="Arial" w:hAnsi="Arial"/>
                <w:sz w:val="20"/>
              </w:rPr>
            </w:r>
          </w:p>
        </w:tc>
        <w:tc>
          <w:tcPr>
            <w:tcW w:type="dxa" w:w="4680"/>
          </w:tcPr>
          <w:p>
            <w:r/>
            <w:r>
              <w:rPr>
                <w:rFonts w:ascii="Arial" w:hAnsi="Arial"/>
                <w:sz w:val="20"/>
              </w:rPr>
              <w:t>A New Entrant model that achieved wholesale LTM23 revenue of €500k or more. Only two models (SEOUL and MILWAUKEE) qualify under this threshold.</w:t>
            </w:r>
          </w:p>
        </w:tc>
      </w:tr>
      <w:tr>
        <w:tc>
          <w:tcPr>
            <w:tcW w:type="dxa" w:w="4680"/>
          </w:tcPr>
          <w:p>
            <w:r/>
            <w:r>
              <w:rPr>
                <w:rFonts w:ascii="Arial" w:hAnsi="Arial"/>
                <w:sz w:val="20"/>
              </w:rPr>
            </w:r>
            <w:r>
              <w:rPr>
                <w:rFonts w:ascii="Arial" w:hAnsi="Arial"/>
                <w:b/>
                <w:sz w:val="20"/>
              </w:rPr>
              <w:t>Bust</w:t>
            </w:r>
            <w:r>
              <w:rPr>
                <w:rFonts w:ascii="Arial" w:hAnsi="Arial"/>
                <w:sz w:val="20"/>
              </w:rPr>
            </w:r>
          </w:p>
        </w:tc>
        <w:tc>
          <w:tcPr>
            <w:tcW w:type="dxa" w:w="4680"/>
          </w:tcPr>
          <w:p>
            <w:r/>
            <w:r>
              <w:rPr>
                <w:rFonts w:ascii="Arial" w:hAnsi="Arial"/>
                <w:sz w:val="20"/>
              </w:rPr>
              <w:t>Lifecycle classification for models that generated material revenue in prior periods but declined more than 50% from their peak by LTM23. The Bust cohort fell from €8.45m (LTM22) to €2.06m (LTM23).</w:t>
            </w:r>
          </w:p>
        </w:tc>
      </w:tr>
      <w:tr>
        <w:tc>
          <w:tcPr>
            <w:tcW w:type="dxa" w:w="4680"/>
          </w:tcPr>
          <w:p>
            <w:r/>
            <w:r>
              <w:rPr>
                <w:rFonts w:ascii="Arial" w:hAnsi="Arial"/>
                <w:sz w:val="20"/>
              </w:rPr>
            </w:r>
            <w:r>
              <w:rPr>
                <w:rFonts w:ascii="Arial" w:hAnsi="Arial"/>
                <w:b/>
                <w:sz w:val="20"/>
              </w:rPr>
              <w:t>CAGR</w:t>
            </w:r>
            <w:r>
              <w:rPr>
                <w:rFonts w:ascii="Arial" w:hAnsi="Arial"/>
                <w:sz w:val="20"/>
              </w:rPr>
            </w:r>
          </w:p>
        </w:tc>
        <w:tc>
          <w:tcPr>
            <w:tcW w:type="dxa" w:w="4680"/>
          </w:tcPr>
          <w:p>
            <w:r/>
            <w:r>
              <w:rPr>
                <w:rFonts w:ascii="Arial" w:hAnsi="Arial"/>
                <w:sz w:val="20"/>
              </w:rPr>
              <w:t>Compound Annual Growth Rate — the rate at which a value grows over multiple years on an annualised, compounding basis.</w:t>
            </w:r>
          </w:p>
        </w:tc>
      </w:tr>
      <w:tr>
        <w:tc>
          <w:tcPr>
            <w:tcW w:type="dxa" w:w="4680"/>
          </w:tcPr>
          <w:p>
            <w:r/>
            <w:r>
              <w:rPr>
                <w:rFonts w:ascii="Arial" w:hAnsi="Arial"/>
                <w:sz w:val="20"/>
              </w:rPr>
            </w:r>
            <w:r>
              <w:rPr>
                <w:rFonts w:ascii="Arial" w:hAnsi="Arial"/>
                <w:b/>
                <w:sz w:val="20"/>
              </w:rPr>
              <w:t>Canal</w:t>
            </w:r>
            <w:r>
              <w:rPr>
                <w:rFonts w:ascii="Arial" w:hAnsi="Arial"/>
                <w:sz w:val="20"/>
              </w:rPr>
            </w:r>
          </w:p>
        </w:tc>
        <w:tc>
          <w:tcPr>
            <w:tcW w:type="dxa" w:w="4680"/>
          </w:tcPr>
          <w:p>
            <w:r/>
            <w:r>
              <w:rPr>
                <w:rFonts w:ascii="Arial" w:hAnsi="Arial"/>
                <w:sz w:val="20"/>
              </w:rPr>
              <w:t>Internal field name for the sales channel dimension (Wholesales, Retail, Online).</w:t>
            </w:r>
          </w:p>
        </w:tc>
      </w:tr>
      <w:tr>
        <w:tc>
          <w:tcPr>
            <w:tcW w:type="dxa" w:w="4680"/>
          </w:tcPr>
          <w:p>
            <w:r/>
            <w:r>
              <w:rPr>
                <w:rFonts w:ascii="Arial" w:hAnsi="Arial"/>
                <w:sz w:val="20"/>
              </w:rPr>
            </w:r>
            <w:r>
              <w:rPr>
                <w:rFonts w:ascii="Arial" w:hAnsi="Arial"/>
                <w:b/>
                <w:sz w:val="20"/>
              </w:rPr>
              <w:t>Cant_Neta</w:t>
            </w:r>
            <w:r>
              <w:rPr>
                <w:rFonts w:ascii="Arial" w:hAnsi="Arial"/>
                <w:sz w:val="20"/>
              </w:rPr>
            </w:r>
          </w:p>
        </w:tc>
        <w:tc>
          <w:tcPr>
            <w:tcW w:type="dxa" w:w="4680"/>
          </w:tcPr>
          <w:p>
            <w:r/>
            <w:r>
              <w:rPr>
                <w:rFonts w:ascii="Arial" w:hAnsi="Arial"/>
                <w:sz w:val="20"/>
              </w:rPr>
              <w:t>Internal field name for net units sold (quantities).</w:t>
            </w:r>
          </w:p>
        </w:tc>
      </w:tr>
      <w:tr>
        <w:tc>
          <w:tcPr>
            <w:tcW w:type="dxa" w:w="4680"/>
          </w:tcPr>
          <w:p>
            <w:r/>
            <w:r>
              <w:rPr>
                <w:rFonts w:ascii="Arial" w:hAnsi="Arial"/>
                <w:sz w:val="20"/>
              </w:rPr>
            </w:r>
            <w:r>
              <w:rPr>
                <w:rFonts w:ascii="Arial" w:hAnsi="Arial"/>
                <w:b/>
                <w:sz w:val="20"/>
              </w:rPr>
              <w:t>Durable</w:t>
            </w:r>
            <w:r>
              <w:rPr>
                <w:rFonts w:ascii="Arial" w:hAnsi="Arial"/>
                <w:sz w:val="20"/>
              </w:rPr>
            </w:r>
          </w:p>
        </w:tc>
        <w:tc>
          <w:tcPr>
            <w:tcW w:type="dxa" w:w="4680"/>
          </w:tcPr>
          <w:p>
            <w:r/>
            <w:r>
              <w:rPr>
                <w:rFonts w:ascii="Arial" w:hAnsi="Arial"/>
                <w:sz w:val="20"/>
              </w:rPr>
              <w:t>Durability sub-classification for New Entrant models retaining ≥40% of their peak monthly revenue at three months post-peak. These models exhibit Stable-model-like retention characteristics.</w:t>
            </w:r>
          </w:p>
        </w:tc>
      </w:tr>
      <w:tr>
        <w:tc>
          <w:tcPr>
            <w:tcW w:type="dxa" w:w="4680"/>
          </w:tcPr>
          <w:p>
            <w:r/>
            <w:r>
              <w:rPr>
                <w:rFonts w:ascii="Arial" w:hAnsi="Arial"/>
                <w:sz w:val="20"/>
              </w:rPr>
            </w:r>
            <w:r>
              <w:rPr>
                <w:rFonts w:ascii="Arial" w:hAnsi="Arial"/>
                <w:b/>
                <w:sz w:val="20"/>
              </w:rPr>
              <w:t>Entry Tier</w:t>
            </w:r>
            <w:r>
              <w:rPr>
                <w:rFonts w:ascii="Arial" w:hAnsi="Arial"/>
                <w:sz w:val="20"/>
              </w:rPr>
            </w:r>
          </w:p>
        </w:tc>
        <w:tc>
          <w:tcPr>
            <w:tcW w:type="dxa" w:w="4680"/>
          </w:tcPr>
          <w:p>
            <w:r/>
            <w:r>
              <w:rPr>
                <w:rFonts w:ascii="Arial" w:hAnsi="Arial"/>
                <w:sz w:val="20"/>
              </w:rPr>
              <w:t>ASP sub-tier comprising models with a LTM23 average selling price below €48. The largest revenue tier (€14.3m LTM23) and most Wholesale-dependent.</w:t>
            </w:r>
          </w:p>
        </w:tc>
      </w:tr>
      <w:tr>
        <w:tc>
          <w:tcPr>
            <w:tcW w:type="dxa" w:w="4680"/>
          </w:tcPr>
          <w:p>
            <w:r/>
            <w:r>
              <w:rPr>
                <w:rFonts w:ascii="Arial" w:hAnsi="Arial"/>
                <w:sz w:val="20"/>
              </w:rPr>
            </w:r>
            <w:r>
              <w:rPr>
                <w:rFonts w:ascii="Arial" w:hAnsi="Arial"/>
                <w:b/>
                <w:sz w:val="20"/>
              </w:rPr>
              <w:t>Fecha_Mes</w:t>
            </w:r>
            <w:r>
              <w:rPr>
                <w:rFonts w:ascii="Arial" w:hAnsi="Arial"/>
                <w:sz w:val="20"/>
              </w:rPr>
            </w:r>
          </w:p>
        </w:tc>
        <w:tc>
          <w:tcPr>
            <w:tcW w:type="dxa" w:w="4680"/>
          </w:tcPr>
          <w:p>
            <w:r/>
            <w:r>
              <w:rPr>
                <w:rFonts w:ascii="Arial" w:hAnsi="Arial"/>
                <w:sz w:val="20"/>
              </w:rPr>
              <w:t>Internal field name for the monthly transaction date.</w:t>
            </w:r>
          </w:p>
        </w:tc>
      </w:tr>
      <w:tr>
        <w:tc>
          <w:tcPr>
            <w:tcW w:type="dxa" w:w="4680"/>
          </w:tcPr>
          <w:p>
            <w:r/>
            <w:r>
              <w:rPr>
                <w:rFonts w:ascii="Arial" w:hAnsi="Arial"/>
                <w:sz w:val="20"/>
              </w:rPr>
            </w:r>
            <w:r>
              <w:rPr>
                <w:rFonts w:ascii="Arial" w:hAnsi="Arial"/>
                <w:b/>
                <w:sz w:val="20"/>
              </w:rPr>
              <w:t>FY</w:t>
            </w:r>
            <w:r>
              <w:rPr>
                <w:rFonts w:ascii="Arial" w:hAnsi="Arial"/>
                <w:sz w:val="20"/>
              </w:rPr>
            </w:r>
          </w:p>
        </w:tc>
        <w:tc>
          <w:tcPr>
            <w:tcW w:type="dxa" w:w="4680"/>
          </w:tcPr>
          <w:p>
            <w:r/>
            <w:r>
              <w:rPr>
                <w:rFonts w:ascii="Arial" w:hAnsi="Arial"/>
                <w:sz w:val="20"/>
              </w:rPr>
              <w:t>Fiscal Year — used here to mean calendar year (FY2021 = January–December 2021; FY2022 = January–December 2022).</w:t>
            </w:r>
          </w:p>
        </w:tc>
      </w:tr>
      <w:tr>
        <w:tc>
          <w:tcPr>
            <w:tcW w:type="dxa" w:w="4680"/>
          </w:tcPr>
          <w:p>
            <w:r/>
            <w:r>
              <w:rPr>
                <w:rFonts w:ascii="Arial" w:hAnsi="Arial"/>
                <w:sz w:val="20"/>
              </w:rPr>
            </w:r>
            <w:r>
              <w:rPr>
                <w:rFonts w:ascii="Arial" w:hAnsi="Arial"/>
                <w:b/>
                <w:sz w:val="20"/>
              </w:rPr>
              <w:t>G4</w:t>
            </w:r>
            <w:r>
              <w:rPr>
                <w:rFonts w:ascii="Arial" w:hAnsi="Arial"/>
                <w:sz w:val="20"/>
              </w:rPr>
            </w:r>
          </w:p>
        </w:tc>
        <w:tc>
          <w:tcPr>
            <w:tcW w:type="dxa" w:w="4680"/>
          </w:tcPr>
          <w:p>
            <w:r/>
            <w:r>
              <w:rPr>
                <w:rFonts w:ascii="Arial" w:hAnsi="Arial"/>
                <w:sz w:val="20"/>
              </w:rPr>
              <w:t>Client segment label from Iteration 10: High-NE Share / Low Breakout Concentration — clients whose NE revenue is distributed across Trickle NE models rather than concentrated in Breakout SKUs. Represents 97% of returning wholesale revenue.</w:t>
            </w:r>
          </w:p>
        </w:tc>
      </w:tr>
      <w:tr>
        <w:tc>
          <w:tcPr>
            <w:tcW w:type="dxa" w:w="4680"/>
          </w:tcPr>
          <w:p>
            <w:r/>
            <w:r>
              <w:rPr>
                <w:rFonts w:ascii="Arial" w:hAnsi="Arial"/>
                <w:sz w:val="20"/>
              </w:rPr>
            </w:r>
            <w:r>
              <w:rPr>
                <w:rFonts w:ascii="Arial" w:hAnsi="Arial"/>
                <w:b/>
                <w:sz w:val="20"/>
              </w:rPr>
              <w:t>HHI</w:t>
            </w:r>
            <w:r>
              <w:rPr>
                <w:rFonts w:ascii="Arial" w:hAnsi="Arial"/>
                <w:sz w:val="20"/>
              </w:rPr>
            </w:r>
          </w:p>
        </w:tc>
        <w:tc>
          <w:tcPr>
            <w:tcW w:type="dxa" w:w="4680"/>
          </w:tcPr>
          <w:p>
            <w:r/>
            <w:r>
              <w:rPr>
                <w:rFonts w:ascii="Arial" w:hAnsi="Arial"/>
                <w:sz w:val="20"/>
              </w:rPr>
              <w:t>Herfindahl-Hirschman Index — a standard measure of market concentration computed as the sum of squared revenue share fractions. Values range from near-zero (perfectly distributed) to 1.0 (monopoly). An HHI below 0.01 is typically considered unconcentrated.</w:t>
            </w:r>
          </w:p>
        </w:tc>
      </w:tr>
      <w:tr>
        <w:tc>
          <w:tcPr>
            <w:tcW w:type="dxa" w:w="4680"/>
          </w:tcPr>
          <w:p>
            <w:r/>
            <w:r>
              <w:rPr>
                <w:rFonts w:ascii="Arial" w:hAnsi="Arial"/>
                <w:sz w:val="20"/>
              </w:rPr>
            </w:r>
            <w:r>
              <w:rPr>
                <w:rFonts w:ascii="Arial" w:hAnsi="Arial"/>
                <w:b/>
                <w:sz w:val="20"/>
              </w:rPr>
              <w:t>LfL</w:t>
            </w:r>
            <w:r>
              <w:rPr>
                <w:rFonts w:ascii="Arial" w:hAnsi="Arial"/>
                <w:sz w:val="20"/>
              </w:rPr>
            </w:r>
          </w:p>
        </w:tc>
        <w:tc>
          <w:tcPr>
            <w:tcW w:type="dxa" w:w="4680"/>
          </w:tcPr>
          <w:p>
            <w:r/>
            <w:r>
              <w:rPr>
                <w:rFonts w:ascii="Arial" w:hAnsi="Arial"/>
                <w:sz w:val="20"/>
              </w:rPr>
              <w:t>Like-for-Like — revenue comparison restricted to clients or products present in both the current and prior period, removing the effect of new additions or deletions.</w:t>
            </w:r>
          </w:p>
        </w:tc>
      </w:tr>
      <w:tr>
        <w:tc>
          <w:tcPr>
            <w:tcW w:type="dxa" w:w="4680"/>
          </w:tcPr>
          <w:p>
            <w:r/>
            <w:r>
              <w:rPr>
                <w:rFonts w:ascii="Arial" w:hAnsi="Arial"/>
                <w:sz w:val="20"/>
              </w:rPr>
            </w:r>
            <w:r>
              <w:rPr>
                <w:rFonts w:ascii="Arial" w:hAnsi="Arial"/>
                <w:b/>
                <w:sz w:val="20"/>
              </w:rPr>
              <w:t>Lower-Mid Tier</w:t>
            </w:r>
            <w:r>
              <w:rPr>
                <w:rFonts w:ascii="Arial" w:hAnsi="Arial"/>
                <w:sz w:val="20"/>
              </w:rPr>
            </w:r>
          </w:p>
        </w:tc>
        <w:tc>
          <w:tcPr>
            <w:tcW w:type="dxa" w:w="4680"/>
          </w:tcPr>
          <w:p>
            <w:r/>
            <w:r>
              <w:rPr>
                <w:rFonts w:ascii="Arial" w:hAnsi="Arial"/>
                <w:sz w:val="20"/>
              </w:rPr>
              <w:t>ASP sub-tier comprising models with a LTM23 average selling price of €48–55.</w:t>
            </w:r>
          </w:p>
        </w:tc>
      </w:tr>
      <w:tr>
        <w:tc>
          <w:tcPr>
            <w:tcW w:type="dxa" w:w="4680"/>
          </w:tcPr>
          <w:p>
            <w:r/>
            <w:r>
              <w:rPr>
                <w:rFonts w:ascii="Arial" w:hAnsi="Arial"/>
                <w:sz w:val="20"/>
              </w:rPr>
            </w:r>
            <w:r>
              <w:rPr>
                <w:rFonts w:ascii="Arial" w:hAnsi="Arial"/>
                <w:b/>
                <w:sz w:val="20"/>
              </w:rPr>
              <w:t>LTM</w:t>
            </w:r>
            <w:r>
              <w:rPr>
                <w:rFonts w:ascii="Arial" w:hAnsi="Arial"/>
                <w:sz w:val="20"/>
              </w:rPr>
            </w:r>
          </w:p>
        </w:tc>
        <w:tc>
          <w:tcPr>
            <w:tcW w:type="dxa" w:w="4680"/>
          </w:tcPr>
          <w:p>
            <w:r/>
            <w:r>
              <w:rPr>
                <w:rFonts w:ascii="Arial" w:hAnsi="Arial"/>
                <w:sz w:val="20"/>
              </w:rPr>
              <w:t>Last Twelve Months — a rolling twelve-month revenue window used to normalise for incomplete fiscal years. LTM23 covers May 2022–April 2023; LTM22 covers May 2021–April 2022.</w:t>
            </w:r>
          </w:p>
        </w:tc>
      </w:tr>
      <w:tr>
        <w:tc>
          <w:tcPr>
            <w:tcW w:type="dxa" w:w="4680"/>
          </w:tcPr>
          <w:p>
            <w:r/>
            <w:r>
              <w:rPr>
                <w:rFonts w:ascii="Arial" w:hAnsi="Arial"/>
                <w:sz w:val="20"/>
              </w:rPr>
            </w:r>
            <w:r>
              <w:rPr>
                <w:rFonts w:ascii="Arial" w:hAnsi="Arial"/>
                <w:b/>
                <w:sz w:val="20"/>
              </w:rPr>
              <w:t>M1 Revenue</w:t>
            </w:r>
            <w:r>
              <w:rPr>
                <w:rFonts w:ascii="Arial" w:hAnsi="Arial"/>
                <w:sz w:val="20"/>
              </w:rPr>
            </w:r>
          </w:p>
        </w:tc>
        <w:tc>
          <w:tcPr>
            <w:tcW w:type="dxa" w:w="4680"/>
          </w:tcPr>
          <w:p>
            <w:r/>
            <w:r>
              <w:rPr>
                <w:rFonts w:ascii="Arial" w:hAnsi="Arial"/>
                <w:sz w:val="20"/>
              </w:rPr>
              <w:t>Month-one revenue — the total revenue recorded in the first month a model appeared in the dataset. Used as a proxy for launch velocity.</w:t>
            </w:r>
          </w:p>
        </w:tc>
      </w:tr>
      <w:tr>
        <w:tc>
          <w:tcPr>
            <w:tcW w:type="dxa" w:w="4680"/>
          </w:tcPr>
          <w:p>
            <w:r/>
            <w:r>
              <w:rPr>
                <w:rFonts w:ascii="Arial" w:hAnsi="Arial"/>
                <w:sz w:val="20"/>
              </w:rPr>
            </w:r>
            <w:r>
              <w:rPr>
                <w:rFonts w:ascii="Arial" w:hAnsi="Arial"/>
                <w:b/>
                <w:sz w:val="20"/>
              </w:rPr>
              <w:t>Mid-tier (Durability)</w:t>
            </w:r>
            <w:r>
              <w:rPr>
                <w:rFonts w:ascii="Arial" w:hAnsi="Arial"/>
                <w:sz w:val="20"/>
              </w:rPr>
            </w:r>
          </w:p>
        </w:tc>
        <w:tc>
          <w:tcPr>
            <w:tcW w:type="dxa" w:w="4680"/>
          </w:tcPr>
          <w:p>
            <w:r/>
            <w:r>
              <w:rPr>
                <w:rFonts w:ascii="Arial" w:hAnsi="Arial"/>
                <w:sz w:val="20"/>
              </w:rPr>
              <w:t>Durability sub-classification for New Entrant models retaining 20–40% of peak revenue at three months post-peak.</w:t>
            </w:r>
          </w:p>
        </w:tc>
      </w:tr>
      <w:tr>
        <w:tc>
          <w:tcPr>
            <w:tcW w:type="dxa" w:w="4680"/>
          </w:tcPr>
          <w:p>
            <w:r/>
            <w:r>
              <w:rPr>
                <w:rFonts w:ascii="Arial" w:hAnsi="Arial"/>
                <w:sz w:val="20"/>
              </w:rPr>
            </w:r>
            <w:r>
              <w:rPr>
                <w:rFonts w:ascii="Arial" w:hAnsi="Arial"/>
                <w:b/>
                <w:sz w:val="20"/>
              </w:rPr>
              <w:t>Milwaukee</w:t>
            </w:r>
            <w:r>
              <w:rPr>
                <w:rFonts w:ascii="Arial" w:hAnsi="Arial"/>
                <w:sz w:val="20"/>
              </w:rPr>
            </w:r>
          </w:p>
        </w:tc>
        <w:tc>
          <w:tcPr>
            <w:tcW w:type="dxa" w:w="4680"/>
          </w:tcPr>
          <w:p>
            <w:r/>
            <w:r>
              <w:rPr>
                <w:rFonts w:ascii="Arial" w:hAnsi="Arial"/>
                <w:sz w:val="20"/>
              </w:rPr>
              <w:t>A New Entrant footwear model, one of only two models to qualify as Breakout NE, with €729k LTM23 total revenue (€522k wholesale).</w:t>
            </w:r>
          </w:p>
        </w:tc>
      </w:tr>
      <w:tr>
        <w:tc>
          <w:tcPr>
            <w:tcW w:type="dxa" w:w="4680"/>
          </w:tcPr>
          <w:p>
            <w:r/>
            <w:r>
              <w:rPr>
                <w:rFonts w:ascii="Arial" w:hAnsi="Arial"/>
                <w:sz w:val="20"/>
              </w:rPr>
            </w:r>
            <w:r>
              <w:rPr>
                <w:rFonts w:ascii="Arial" w:hAnsi="Arial"/>
                <w:b/>
                <w:sz w:val="20"/>
              </w:rPr>
              <w:t>Mixed (Client Segment)</w:t>
            </w:r>
            <w:r>
              <w:rPr>
                <w:rFonts w:ascii="Arial" w:hAnsi="Arial"/>
                <w:sz w:val="20"/>
              </w:rPr>
            </w:r>
          </w:p>
        </w:tc>
        <w:tc>
          <w:tcPr>
            <w:tcW w:type="dxa" w:w="4680"/>
          </w:tcPr>
          <w:p>
            <w:r/>
            <w:r>
              <w:rPr>
                <w:rFonts w:ascii="Arial" w:hAnsi="Arial"/>
                <w:sz w:val="20"/>
              </w:rPr>
              <w:t>Wholesale clients whose basket is not dominated by any single lifecycle category (Stable, NE, or Bust), defined as the residual group after NE-led, Stable-led, and Bust-heavy classification.</w:t>
            </w:r>
          </w:p>
        </w:tc>
      </w:tr>
      <w:tr>
        <w:tc>
          <w:tcPr>
            <w:tcW w:type="dxa" w:w="4680"/>
          </w:tcPr>
          <w:p>
            <w:r/>
            <w:r>
              <w:rPr>
                <w:rFonts w:ascii="Arial" w:hAnsi="Arial"/>
                <w:sz w:val="20"/>
              </w:rPr>
            </w:r>
            <w:r>
              <w:rPr>
                <w:rFonts w:ascii="Arial" w:hAnsi="Arial"/>
                <w:b/>
                <w:sz w:val="20"/>
              </w:rPr>
              <w:t>NE</w:t>
            </w:r>
            <w:r>
              <w:rPr>
                <w:rFonts w:ascii="Arial" w:hAnsi="Arial"/>
                <w:sz w:val="20"/>
              </w:rPr>
            </w:r>
          </w:p>
        </w:tc>
        <w:tc>
          <w:tcPr>
            <w:tcW w:type="dxa" w:w="4680"/>
          </w:tcPr>
          <w:p>
            <w:r/>
            <w:r>
              <w:rPr>
                <w:rFonts w:ascii="Arial" w:hAnsi="Arial"/>
                <w:sz w:val="20"/>
              </w:rPr>
              <w:t>New Entrant — lifecycle classification for product models absent from FY2021 revenue that recorded positive revenue in LTM23. Represents the primary growth driver at 50–55% of LTM23 revenue.</w:t>
            </w:r>
          </w:p>
        </w:tc>
      </w:tr>
      <w:tr>
        <w:tc>
          <w:tcPr>
            <w:tcW w:type="dxa" w:w="4680"/>
          </w:tcPr>
          <w:p>
            <w:r/>
            <w:r>
              <w:rPr>
                <w:rFonts w:ascii="Arial" w:hAnsi="Arial"/>
                <w:sz w:val="20"/>
              </w:rPr>
            </w:r>
            <w:r>
              <w:rPr>
                <w:rFonts w:ascii="Arial" w:hAnsi="Arial"/>
                <w:b/>
                <w:sz w:val="20"/>
              </w:rPr>
              <w:t>NE-led (Client Segment)</w:t>
            </w:r>
            <w:r>
              <w:rPr>
                <w:rFonts w:ascii="Arial" w:hAnsi="Arial"/>
                <w:sz w:val="20"/>
              </w:rPr>
            </w:r>
          </w:p>
        </w:tc>
        <w:tc>
          <w:tcPr>
            <w:tcW w:type="dxa" w:w="4680"/>
          </w:tcPr>
          <w:p>
            <w:r/>
            <w:r>
              <w:rPr>
                <w:rFonts w:ascii="Arial" w:hAnsi="Arial"/>
                <w:sz w:val="20"/>
              </w:rPr>
              <w:t>Wholesale clients deriving more than 60% of their LTM23 revenue from New Entrant models.</w:t>
            </w:r>
          </w:p>
        </w:tc>
      </w:tr>
      <w:tr>
        <w:tc>
          <w:tcPr>
            <w:tcW w:type="dxa" w:w="4680"/>
          </w:tcPr>
          <w:p>
            <w:r/>
            <w:r>
              <w:rPr>
                <w:rFonts w:ascii="Arial" w:hAnsi="Arial"/>
                <w:sz w:val="20"/>
              </w:rPr>
            </w:r>
            <w:r>
              <w:rPr>
                <w:rFonts w:ascii="Arial" w:hAnsi="Arial"/>
                <w:b/>
                <w:sz w:val="20"/>
              </w:rPr>
              <w:t>Nombre Modelo</w:t>
            </w:r>
            <w:r>
              <w:rPr>
                <w:rFonts w:ascii="Arial" w:hAnsi="Arial"/>
                <w:sz w:val="20"/>
              </w:rPr>
            </w:r>
          </w:p>
        </w:tc>
        <w:tc>
          <w:tcPr>
            <w:tcW w:type="dxa" w:w="4680"/>
          </w:tcPr>
          <w:p>
            <w:r/>
            <w:r>
              <w:rPr>
                <w:rFonts w:ascii="Arial" w:hAnsi="Arial"/>
                <w:sz w:val="20"/>
              </w:rPr>
              <w:t>Internal field name for the product model name.</w:t>
            </w:r>
          </w:p>
        </w:tc>
      </w:tr>
      <w:tr>
        <w:tc>
          <w:tcPr>
            <w:tcW w:type="dxa" w:w="4680"/>
          </w:tcPr>
          <w:p>
            <w:r/>
            <w:r>
              <w:rPr>
                <w:rFonts w:ascii="Arial" w:hAnsi="Arial"/>
                <w:sz w:val="20"/>
              </w:rPr>
            </w:r>
            <w:r>
              <w:rPr>
                <w:rFonts w:ascii="Arial" w:hAnsi="Arial"/>
                <w:b/>
                <w:sz w:val="20"/>
              </w:rPr>
              <w:t>PLTM</w:t>
            </w:r>
            <w:r>
              <w:rPr>
                <w:rFonts w:ascii="Arial" w:hAnsi="Arial"/>
                <w:sz w:val="20"/>
              </w:rPr>
            </w:r>
          </w:p>
        </w:tc>
        <w:tc>
          <w:tcPr>
            <w:tcW w:type="dxa" w:w="4680"/>
          </w:tcPr>
          <w:p>
            <w:r/>
            <w:r>
              <w:rPr>
                <w:rFonts w:ascii="Arial" w:hAnsi="Arial"/>
                <w:sz w:val="20"/>
              </w:rPr>
              <w:t>Prior Last Twelve Months — the twelve-month window immediately preceding the LTM period. PLTM22 covers May 2021–April 2022.</w:t>
            </w:r>
          </w:p>
        </w:tc>
      </w:tr>
      <w:tr>
        <w:tc>
          <w:tcPr>
            <w:tcW w:type="dxa" w:w="4680"/>
          </w:tcPr>
          <w:p>
            <w:r/>
            <w:r>
              <w:rPr>
                <w:rFonts w:ascii="Arial" w:hAnsi="Arial"/>
                <w:sz w:val="20"/>
              </w:rPr>
            </w:r>
            <w:r>
              <w:rPr>
                <w:rFonts w:ascii="Arial" w:hAnsi="Arial"/>
                <w:b/>
                <w:sz w:val="20"/>
              </w:rPr>
              <w:t>Premium Tier</w:t>
            </w:r>
            <w:r>
              <w:rPr>
                <w:rFonts w:ascii="Arial" w:hAnsi="Arial"/>
                <w:sz w:val="20"/>
              </w:rPr>
            </w:r>
          </w:p>
        </w:tc>
        <w:tc>
          <w:tcPr>
            <w:tcW w:type="dxa" w:w="4680"/>
          </w:tcPr>
          <w:p>
            <w:r/>
            <w:r>
              <w:rPr>
                <w:rFonts w:ascii="Arial" w:hAnsi="Arial"/>
                <w:sz w:val="20"/>
              </w:rPr>
              <w:t>ASP sub-tier comprising models with a LTM23 average selling price above €65. Characterised by an 84.2% Stable model rate and a balanced channel mix; approximately €5m LTM23 revenue.</w:t>
            </w:r>
          </w:p>
        </w:tc>
      </w:tr>
      <w:tr>
        <w:tc>
          <w:tcPr>
            <w:tcW w:type="dxa" w:w="4680"/>
          </w:tcPr>
          <w:p>
            <w:r/>
            <w:r>
              <w:rPr>
                <w:rFonts w:ascii="Arial" w:hAnsi="Arial"/>
                <w:sz w:val="20"/>
              </w:rPr>
            </w:r>
            <w:r>
              <w:rPr>
                <w:rFonts w:ascii="Arial" w:hAnsi="Arial"/>
                <w:b/>
                <w:sz w:val="20"/>
              </w:rPr>
              <w:t>PxQ Decomposition</w:t>
            </w:r>
            <w:r>
              <w:rPr>
                <w:rFonts w:ascii="Arial" w:hAnsi="Arial"/>
                <w:sz w:val="20"/>
              </w:rPr>
            </w:r>
          </w:p>
        </w:tc>
        <w:tc>
          <w:tcPr>
            <w:tcW w:type="dxa" w:w="4680"/>
          </w:tcPr>
          <w:p>
            <w:r/>
            <w:r>
              <w:rPr>
                <w:rFonts w:ascii="Arial" w:hAnsi="Arial"/>
                <w:sz w:val="20"/>
              </w:rPr>
              <w:t>Price-by-Quantity decomposition — a standard analytical technique that separates revenue growth into the volume effect (change in units × prior ASP) and the price/mix effect (change in ASP × current units).</w:t>
            </w:r>
          </w:p>
        </w:tc>
      </w:tr>
      <w:tr>
        <w:tc>
          <w:tcPr>
            <w:tcW w:type="dxa" w:w="4680"/>
          </w:tcPr>
          <w:p>
            <w:r/>
            <w:r>
              <w:rPr>
                <w:rFonts w:ascii="Arial" w:hAnsi="Arial"/>
                <w:sz w:val="20"/>
              </w:rPr>
            </w:r>
            <w:r>
              <w:rPr>
                <w:rFonts w:ascii="Arial" w:hAnsi="Arial"/>
                <w:b/>
                <w:sz w:val="20"/>
              </w:rPr>
              <w:t>Retail</w:t>
            </w:r>
            <w:r>
              <w:rPr>
                <w:rFonts w:ascii="Arial" w:hAnsi="Arial"/>
                <w:sz w:val="20"/>
              </w:rPr>
            </w:r>
          </w:p>
        </w:tc>
        <w:tc>
          <w:tcPr>
            <w:tcW w:type="dxa" w:w="4680"/>
          </w:tcPr>
          <w:p>
            <w:r/>
            <w:r>
              <w:rPr>
                <w:rFonts w:ascii="Arial" w:hAnsi="Arial"/>
                <w:sz w:val="20"/>
              </w:rPr>
              <w:t>The brick-and-mortar or physical retail sales channel, growing from 4 to 63 client accounts across the observation period.</w:t>
            </w:r>
          </w:p>
        </w:tc>
      </w:tr>
      <w:tr>
        <w:tc>
          <w:tcPr>
            <w:tcW w:type="dxa" w:w="4680"/>
          </w:tcPr>
          <w:p>
            <w:r/>
            <w:r>
              <w:rPr>
                <w:rFonts w:ascii="Arial" w:hAnsi="Arial"/>
                <w:sz w:val="20"/>
              </w:rPr>
            </w:r>
            <w:r>
              <w:rPr>
                <w:rFonts w:ascii="Arial" w:hAnsi="Arial"/>
                <w:b/>
                <w:sz w:val="20"/>
              </w:rPr>
              <w:t>Seoul</w:t>
            </w:r>
            <w:r>
              <w:rPr>
                <w:rFonts w:ascii="Arial" w:hAnsi="Arial"/>
                <w:sz w:val="20"/>
              </w:rPr>
            </w:r>
          </w:p>
        </w:tc>
        <w:tc>
          <w:tcPr>
            <w:tcW w:type="dxa" w:w="4680"/>
          </w:tcPr>
          <w:p>
            <w:r/>
            <w:r>
              <w:rPr>
                <w:rFonts w:ascii="Arial" w:hAnsi="Arial"/>
                <w:sz w:val="20"/>
              </w:rPr>
              <w:t>The top-performing New Entrant model, with €926k LTM23 total revenue (€684k wholesale), 85% retention at +3m post-peak, and an Entry-tier ASP.</w:t>
            </w:r>
          </w:p>
        </w:tc>
      </w:tr>
      <w:tr>
        <w:tc>
          <w:tcPr>
            <w:tcW w:type="dxa" w:w="4680"/>
          </w:tcPr>
          <w:p>
            <w:r/>
            <w:r>
              <w:rPr>
                <w:rFonts w:ascii="Arial" w:hAnsi="Arial"/>
                <w:sz w:val="20"/>
              </w:rPr>
            </w:r>
            <w:r>
              <w:rPr>
                <w:rFonts w:ascii="Arial" w:hAnsi="Arial"/>
                <w:b/>
                <w:sz w:val="20"/>
              </w:rPr>
              <w:t>SKU</w:t>
            </w:r>
            <w:r>
              <w:rPr>
                <w:rFonts w:ascii="Arial" w:hAnsi="Arial"/>
                <w:sz w:val="20"/>
              </w:rPr>
            </w:r>
          </w:p>
        </w:tc>
        <w:tc>
          <w:tcPr>
            <w:tcW w:type="dxa" w:w="4680"/>
          </w:tcPr>
          <w:p>
            <w:r/>
            <w:r>
              <w:rPr>
                <w:rFonts w:ascii="Arial" w:hAnsi="Arial"/>
                <w:sz w:val="20"/>
              </w:rPr>
              <w:t>Stock Keeping Unit — an individual, distinct product variant tracked as a unique model in the dataset.</w:t>
            </w:r>
          </w:p>
        </w:tc>
      </w:tr>
      <w:tr>
        <w:tc>
          <w:tcPr>
            <w:tcW w:type="dxa" w:w="4680"/>
          </w:tcPr>
          <w:p>
            <w:r/>
            <w:r>
              <w:rPr>
                <w:rFonts w:ascii="Arial" w:hAnsi="Arial"/>
                <w:sz w:val="20"/>
              </w:rPr>
            </w:r>
            <w:r>
              <w:rPr>
                <w:rFonts w:ascii="Arial" w:hAnsi="Arial"/>
                <w:b/>
                <w:sz w:val="20"/>
              </w:rPr>
              <w:t>Stable</w:t>
            </w:r>
            <w:r>
              <w:rPr>
                <w:rFonts w:ascii="Arial" w:hAnsi="Arial"/>
                <w:sz w:val="20"/>
              </w:rPr>
            </w:r>
          </w:p>
        </w:tc>
        <w:tc>
          <w:tcPr>
            <w:tcW w:type="dxa" w:w="4680"/>
          </w:tcPr>
          <w:p>
            <w:r/>
            <w:r>
              <w:rPr>
                <w:rFonts w:ascii="Arial" w:hAnsi="Arial"/>
                <w:sz w:val="20"/>
              </w:rPr>
              <w:t>Lifecycle classification for models present in both FY2021 and LTM23 with less than 30% cumulative revenue decline. Characterised by a median active lifespan of 18 months and compounding revenue curves to month 25.</w:t>
            </w:r>
          </w:p>
        </w:tc>
      </w:tr>
      <w:tr>
        <w:tc>
          <w:tcPr>
            <w:tcW w:type="dxa" w:w="4680"/>
          </w:tcPr>
          <w:p>
            <w:r/>
            <w:r>
              <w:rPr>
                <w:rFonts w:ascii="Arial" w:hAnsi="Arial"/>
                <w:sz w:val="20"/>
              </w:rPr>
            </w:r>
            <w:r>
              <w:rPr>
                <w:rFonts w:ascii="Arial" w:hAnsi="Arial"/>
                <w:b/>
                <w:sz w:val="20"/>
              </w:rPr>
              <w:t>Stable-led (Client Segment)</w:t>
            </w:r>
            <w:r>
              <w:rPr>
                <w:rFonts w:ascii="Arial" w:hAnsi="Arial"/>
                <w:sz w:val="20"/>
              </w:rPr>
            </w:r>
          </w:p>
        </w:tc>
        <w:tc>
          <w:tcPr>
            <w:tcW w:type="dxa" w:w="4680"/>
          </w:tcPr>
          <w:p>
            <w:r/>
            <w:r>
              <w:rPr>
                <w:rFonts w:ascii="Arial" w:hAnsi="Arial"/>
                <w:sz w:val="20"/>
              </w:rPr>
              <w:t>Wholesale clients deriving more than 60% of their LTM23 revenue from Stable models. Average YoY growth of +75.1%, with 64% of clients growing.</w:t>
            </w:r>
          </w:p>
        </w:tc>
      </w:tr>
      <w:tr>
        <w:tc>
          <w:tcPr>
            <w:tcW w:type="dxa" w:w="4680"/>
          </w:tcPr>
          <w:p>
            <w:r/>
            <w:r>
              <w:rPr>
                <w:rFonts w:ascii="Arial" w:hAnsi="Arial"/>
                <w:sz w:val="20"/>
              </w:rPr>
            </w:r>
            <w:r>
              <w:rPr>
                <w:rFonts w:ascii="Arial" w:hAnsi="Arial"/>
                <w:b/>
                <w:sz w:val="20"/>
              </w:rPr>
              <w:t>Tienda_Cliente</w:t>
            </w:r>
            <w:r>
              <w:rPr>
                <w:rFonts w:ascii="Arial" w:hAnsi="Arial"/>
                <w:sz w:val="20"/>
              </w:rPr>
            </w:r>
          </w:p>
        </w:tc>
        <w:tc>
          <w:tcPr>
            <w:tcW w:type="dxa" w:w="4680"/>
          </w:tcPr>
          <w:p>
            <w:r/>
            <w:r>
              <w:rPr>
                <w:rFonts w:ascii="Arial" w:hAnsi="Arial"/>
                <w:sz w:val="20"/>
              </w:rPr>
              <w:t>Internal field name for the client or store name.</w:t>
            </w:r>
          </w:p>
        </w:tc>
      </w:tr>
      <w:tr>
        <w:tc>
          <w:tcPr>
            <w:tcW w:type="dxa" w:w="4680"/>
          </w:tcPr>
          <w:p>
            <w:r/>
            <w:r>
              <w:rPr>
                <w:rFonts w:ascii="Arial" w:hAnsi="Arial"/>
                <w:sz w:val="20"/>
              </w:rPr>
            </w:r>
            <w:r>
              <w:rPr>
                <w:rFonts w:ascii="Arial" w:hAnsi="Arial"/>
                <w:b/>
                <w:sz w:val="20"/>
              </w:rPr>
              <w:t>Time-to-Peak</w:t>
            </w:r>
            <w:r>
              <w:rPr>
                <w:rFonts w:ascii="Arial" w:hAnsi="Arial"/>
                <w:sz w:val="20"/>
              </w:rPr>
            </w:r>
          </w:p>
        </w:tc>
        <w:tc>
          <w:tcPr>
            <w:tcW w:type="dxa" w:w="4680"/>
          </w:tcPr>
          <w:p>
            <w:r/>
            <w:r>
              <w:rPr>
                <w:rFonts w:ascii="Arial" w:hAnsi="Arial"/>
                <w:sz w:val="20"/>
              </w:rPr>
              <w:t>The number of months from a model's first recorded revenue month to its highest single-month revenue month. Median for NE models is month 3.</w:t>
            </w:r>
          </w:p>
        </w:tc>
      </w:tr>
      <w:tr>
        <w:tc>
          <w:tcPr>
            <w:tcW w:type="dxa" w:w="4680"/>
          </w:tcPr>
          <w:p>
            <w:r/>
            <w:r>
              <w:rPr>
                <w:rFonts w:ascii="Arial" w:hAnsi="Arial"/>
                <w:sz w:val="20"/>
              </w:rPr>
            </w:r>
            <w:r>
              <w:rPr>
                <w:rFonts w:ascii="Arial" w:hAnsi="Arial"/>
                <w:b/>
                <w:sz w:val="20"/>
              </w:rPr>
              <w:t>Transient</w:t>
            </w:r>
            <w:r>
              <w:rPr>
                <w:rFonts w:ascii="Arial" w:hAnsi="Arial"/>
                <w:sz w:val="20"/>
              </w:rPr>
            </w:r>
          </w:p>
        </w:tc>
        <w:tc>
          <w:tcPr>
            <w:tcW w:type="dxa" w:w="4680"/>
          </w:tcPr>
          <w:p>
            <w:r/>
            <w:r>
              <w:rPr>
                <w:rFonts w:ascii="Arial" w:hAnsi="Arial"/>
                <w:sz w:val="20"/>
              </w:rPr>
              <w:t>Durability sub-classification for New Entrant models retaining less than 20% of peak revenue at three months post-peak. Represents 48.5% of NE models by count and €6.27m of LTM23 revenue.</w:t>
            </w:r>
          </w:p>
        </w:tc>
      </w:tr>
      <w:tr>
        <w:tc>
          <w:tcPr>
            <w:tcW w:type="dxa" w:w="4680"/>
          </w:tcPr>
          <w:p>
            <w:r/>
            <w:r>
              <w:rPr>
                <w:rFonts w:ascii="Arial" w:hAnsi="Arial"/>
                <w:sz w:val="20"/>
              </w:rPr>
            </w:r>
            <w:r>
              <w:rPr>
                <w:rFonts w:ascii="Arial" w:hAnsi="Arial"/>
                <w:b/>
                <w:sz w:val="20"/>
              </w:rPr>
              <w:t>Trickle NE</w:t>
            </w:r>
            <w:r>
              <w:rPr>
                <w:rFonts w:ascii="Arial" w:hAnsi="Arial"/>
                <w:sz w:val="20"/>
              </w:rPr>
            </w:r>
          </w:p>
        </w:tc>
        <w:tc>
          <w:tcPr>
            <w:tcW w:type="dxa" w:w="4680"/>
          </w:tcPr>
          <w:p>
            <w:r/>
            <w:r>
              <w:rPr>
                <w:rFonts w:ascii="Arial" w:hAnsi="Arial"/>
                <w:sz w:val="20"/>
              </w:rPr>
              <w:t>New Entrant models with wholesale LTM23 revenue below €500k. Collectively account for 90.5% of total wholesale NE revenue, distributed across 113 models.</w:t>
            </w:r>
          </w:p>
        </w:tc>
      </w:tr>
      <w:tr>
        <w:tc>
          <w:tcPr>
            <w:tcW w:type="dxa" w:w="4680"/>
          </w:tcPr>
          <w:p>
            <w:r/>
            <w:r>
              <w:rPr>
                <w:rFonts w:ascii="Arial" w:hAnsi="Arial"/>
                <w:sz w:val="20"/>
              </w:rPr>
            </w:r>
            <w:r>
              <w:rPr>
                <w:rFonts w:ascii="Arial" w:hAnsi="Arial"/>
                <w:b/>
                <w:sz w:val="20"/>
              </w:rPr>
              <w:t>Upper-Mid Tier</w:t>
            </w:r>
            <w:r>
              <w:rPr>
                <w:rFonts w:ascii="Arial" w:hAnsi="Arial"/>
                <w:sz w:val="20"/>
              </w:rPr>
            </w:r>
          </w:p>
        </w:tc>
        <w:tc>
          <w:tcPr>
            <w:tcW w:type="dxa" w:w="4680"/>
          </w:tcPr>
          <w:p>
            <w:r/>
            <w:r>
              <w:rPr>
                <w:rFonts w:ascii="Arial" w:hAnsi="Arial"/>
                <w:sz w:val="20"/>
              </w:rPr>
              <w:t>ASP sub-tier comprising models with a LTM23 average selling price of €55–65.</w:t>
            </w:r>
          </w:p>
        </w:tc>
      </w:tr>
      <w:tr>
        <w:tc>
          <w:tcPr>
            <w:tcW w:type="dxa" w:w="4680"/>
          </w:tcPr>
          <w:p>
            <w:r/>
            <w:r>
              <w:rPr>
                <w:rFonts w:ascii="Arial" w:hAnsi="Arial"/>
                <w:sz w:val="20"/>
              </w:rPr>
            </w:r>
            <w:r>
              <w:rPr>
                <w:rFonts w:ascii="Arial" w:hAnsi="Arial"/>
                <w:b/>
                <w:sz w:val="20"/>
              </w:rPr>
              <w:t>Venta Netas</w:t>
            </w:r>
            <w:r>
              <w:rPr>
                <w:rFonts w:ascii="Arial" w:hAnsi="Arial"/>
                <w:sz w:val="20"/>
              </w:rPr>
            </w:r>
          </w:p>
        </w:tc>
        <w:tc>
          <w:tcPr>
            <w:tcW w:type="dxa" w:w="4680"/>
          </w:tcPr>
          <w:p>
            <w:r/>
            <w:r>
              <w:rPr>
                <w:rFonts w:ascii="Arial" w:hAnsi="Arial"/>
                <w:sz w:val="20"/>
              </w:rPr>
              <w:t>Internal field name for net revenue in euros.</w:t>
            </w:r>
          </w:p>
        </w:tc>
      </w:tr>
      <w:tr>
        <w:tc>
          <w:tcPr>
            <w:tcW w:type="dxa" w:w="4680"/>
          </w:tcPr>
          <w:p>
            <w:r/>
            <w:r>
              <w:rPr>
                <w:rFonts w:ascii="Arial" w:hAnsi="Arial"/>
                <w:sz w:val="20"/>
              </w:rPr>
            </w:r>
            <w:r>
              <w:rPr>
                <w:rFonts w:ascii="Arial" w:hAnsi="Arial"/>
                <w:b/>
                <w:sz w:val="20"/>
              </w:rPr>
              <w:t>WS</w:t>
            </w:r>
            <w:r>
              <w:rPr>
                <w:rFonts w:ascii="Arial" w:hAnsi="Arial"/>
                <w:sz w:val="20"/>
              </w:rPr>
            </w:r>
          </w:p>
        </w:tc>
        <w:tc>
          <w:tcPr>
            <w:tcW w:type="dxa" w:w="4680"/>
          </w:tcPr>
          <w:p>
            <w:r/>
            <w:r>
              <w:rPr>
                <w:rFonts w:ascii="Arial" w:hAnsi="Arial"/>
                <w:sz w:val="20"/>
              </w:rPr>
              <w:t>Wholesale / Wholesales — the primary distribution channel, accounting for 59–65% of total company revenue. Serves a base of 996–1,690 client accounts depending on the period.</w:t>
            </w:r>
          </w:p>
        </w:tc>
      </w:tr>
      <w:tr>
        <w:tc>
          <w:tcPr>
            <w:tcW w:type="dxa" w:w="4680"/>
          </w:tcPr>
          <w:p>
            <w:r/>
            <w:r>
              <w:rPr>
                <w:rFonts w:ascii="Arial" w:hAnsi="Arial"/>
                <w:sz w:val="20"/>
              </w:rPr>
            </w:r>
            <w:r>
              <w:rPr>
                <w:rFonts w:ascii="Arial" w:hAnsi="Arial"/>
                <w:b/>
                <w:sz w:val="20"/>
              </w:rPr>
              <w:t>YoY</w:t>
            </w:r>
            <w:r>
              <w:rPr>
                <w:rFonts w:ascii="Arial" w:hAnsi="Arial"/>
                <w:sz w:val="20"/>
              </w:rPr>
            </w:r>
          </w:p>
        </w:tc>
        <w:tc>
          <w:tcPr>
            <w:tcW w:type="dxa" w:w="4680"/>
          </w:tcPr>
          <w:p>
            <w:r/>
            <w:r>
              <w:rPr>
                <w:rFonts w:ascii="Arial" w:hAnsi="Arial"/>
                <w:sz w:val="20"/>
              </w:rPr>
              <w:t>Year-over-Year — the percentage change in a metric comparing a period to the equivalent period in the prior year.</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