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sz w:val="22"/>
        </w:rPr>
        <w:t>Trabajo de grado — Formulación del proyecto</w:t>
      </w:r>
    </w:p>
    <w:p>
      <w:r>
        <w:rPr>
          <w:rFonts w:ascii="Arial" w:hAnsi="Arial"/>
          <w:b w:val="0"/>
          <w:sz w:val="22"/>
        </w:rPr>
        <w:t>Universidad de Antioquia · Facultad de Comunicaciones · Estudiante: José Daniel Niño · Junio de 2026</w:t>
      </w:r>
    </w:p>
    <w:p>
      <w:r>
        <w:rPr>
          <w:rFonts w:ascii="Arial" w:hAnsi="Arial"/>
          <w:b w:val="0"/>
          <w:sz w:val="22"/>
        </w:rPr>
        <w:t>Título: Flujos de trabajo con inteligencia artificial generativa como mediación comunicativa para fortalecer el pensamiento crítico en procesos de investigación y escritura académica de estudiantes de trabajo de grado de la Facultad de Comunicaciones de la Universidad de Antioquia.</w:t>
      </w:r>
    </w:p>
    <w:p>
      <w:pPr>
        <w:pStyle w:val="Heading1"/>
      </w:pPr>
      <w:r>
        <w:rPr>
          <w:rFonts w:ascii="Arial" w:hAnsi="Arial"/>
          <w:sz w:val="22"/>
        </w:rPr>
        <w:t>Planteamiento del problema</w:t>
      </w:r>
    </w:p>
    <w:p>
      <w:pPr>
        <w:pStyle w:val="Heading2"/>
      </w:pPr>
      <w:r>
        <w:rPr>
          <w:rFonts w:ascii="Arial" w:hAnsi="Arial"/>
          <w:sz w:val="22"/>
        </w:rPr>
        <w:t>Contexto</w:t>
      </w:r>
    </w:p>
    <w:p>
      <w:r>
        <w:rPr>
          <w:rFonts w:ascii="Arial" w:hAnsi="Arial"/>
          <w:b w:val="0"/>
          <w:sz w:val="22"/>
        </w:rPr>
        <w:t>La inteligencia artificial generativa se ha incorporado aceleradamente a las prácticas académicas universitarias. ChatGPT, Gemini, Claude, Copilot y otros asistentes conversacionales son utilizados por estudiantes para buscar información, formular ideas, resumir textos, organizar borradores, preparar productos comunicativos y recibir retroalimentación inicial (Lo, 2023; Kasneci et al., 2023). Esta incorporación no ocurre al margen de la formación: modifica prácticas centrales como investigar, leer, escribir, argumentar, verificar y citar (Crompton y Burke, 2023; Zawacki-Richter et al., 2019). En el caso de los trabajos de grado de la Facultad de Comunicaciones de la Universidad de Antioquia, el problema no es únicamente si los estudiantes usan o no IA generativa, sino cómo la usan para pensar, investigar, escribir y tomar decisiones académicas, en un contexto donde Chan y Hu (2023) muestran que los estudiantes perciben beneficios pero también expresan dudas sobre exactitud, dependencia y orientación institucional.</w:t>
      </w:r>
    </w:p>
    <w:p>
      <w:pPr>
        <w:pStyle w:val="Heading2"/>
      </w:pPr>
      <w:r>
        <w:rPr>
          <w:rFonts w:ascii="Arial" w:hAnsi="Arial"/>
          <w:sz w:val="22"/>
        </w:rPr>
        <w:t>Naturaleza del problema</w:t>
      </w:r>
    </w:p>
    <w:p>
      <w:r>
        <w:rPr>
          <w:rFonts w:ascii="Arial" w:hAnsi="Arial"/>
          <w:b w:val="0"/>
          <w:sz w:val="22"/>
        </w:rPr>
        <w:t>La naturaleza del problema es comunicativa y formativa. Cuando la IA generativa interviene en la búsqueda, la síntesis, la revisión y la escritura, no opera como un instrumento neutral: se ubica en una red de mediaciones entre estudiante, docente, texto, fuente, plataforma y criterios de legitimidad académica (Martín-Barbero, 1987; Dwivedi et al., 2023). Las respuestas que produce suelen presentarse con fluidez y seguridad aun cuando contienen errores, sesgos, omisiones o referencias inexistentes (Walters y Wilder, 2023). Esto genera una tensión central para el pensamiento crítico: ¿cómo conserva el estudiante su agencia cuando una parte del proceso de búsqueda, argumentación y escritura se delega en un sistema generativo? En la escritura académica, la IA puede apoyar la generación de ideas, la estructura textual y la retroalimentación (Imran y Almusharraf, 2023; Mahapatra, 2024; Banihashem et al., 2024), pero también puede debilitar la lectura crítica, la construcción de argumento y la responsabilidad autoral si se usa como sustituto del juicio del estudiante.</w:t>
      </w:r>
    </w:p>
    <w:p>
      <w:pPr>
        <w:pStyle w:val="Heading2"/>
      </w:pPr>
      <w:r>
        <w:rPr>
          <w:rFonts w:ascii="Arial" w:hAnsi="Arial"/>
          <w:sz w:val="22"/>
        </w:rPr>
        <w:t>Perspectiva teórica</w:t>
      </w:r>
    </w:p>
    <w:p>
      <w:r>
        <w:rPr>
          <w:rFonts w:ascii="Arial" w:hAnsi="Arial"/>
          <w:b w:val="0"/>
          <w:sz w:val="22"/>
        </w:rPr>
        <w:t>Desde el campo de las Comunicaciones, esta tensión se examina mejor como una cuestión de mediación: la IA reconfigura las prácticas mediante las cuales los estudiantes preguntan, interpretan fuentes, organizan información, argumentan y comunican conocimiento (Miao y Holmes, 2023). La evidencia reciente advierte, además, que el uso intensivo de IA generativa puede asociarse a reducciones en el esfuerzo cognitivo percibido y a una mayor dependencia cognitiva (Lee et al., 2025; Gerlich, 2025; Risko y Gilbert, 2016), y que persisten problemas de integridad académica, autoría y declaración de uso que exigen criterios pedagógicos explícitos (Perkins, 2023; Perkins et al., 2024; Cotton et al., 2024).</w:t>
      </w:r>
    </w:p>
    <w:p>
      <w:pPr>
        <w:pStyle w:val="Heading2"/>
      </w:pPr>
      <w:r>
        <w:rPr>
          <w:rFonts w:ascii="Arial" w:hAnsi="Arial"/>
          <w:sz w:val="22"/>
        </w:rPr>
        <w:t>Vacío investigativo</w:t>
      </w:r>
    </w:p>
    <w:p>
      <w:r>
        <w:rPr>
          <w:rFonts w:ascii="Arial" w:hAnsi="Arial"/>
          <w:b w:val="0"/>
          <w:sz w:val="22"/>
        </w:rPr>
        <w:t>La brecha investigativa que justifica este proyecto es la siguiente: aunque la literatura documenta ampliamente oportunidades, riesgos éticos e impactos generales del uso de IA en educación superior, son escasos los estudios situados que diseñen, implementen y analicen flujos de trabajo concretos con IA generativa —secuencias articuladas de formulación, verificación, contraste, revisión y declaración— para observar cómo estudiantes de Comunicación problematizan y ejercen el pensamiento crítico en procesos reales de investigación y escritura académica. En América Latina, la investigación sobre IA en educación superior es aún incipiente y predominantemente técnica (Salas-Pilco y Yang, 2022). Esta investigación busca aportar a esa brecha mediante una propuesta aplicada en la Facultad de Comunicaciones de la Universidad de Antioquia.</w:t>
      </w:r>
    </w:p>
    <w:p>
      <w:pPr>
        <w:pStyle w:val="Heading1"/>
      </w:pPr>
      <w:r>
        <w:rPr>
          <w:rFonts w:ascii="Arial" w:hAnsi="Arial"/>
          <w:sz w:val="22"/>
        </w:rPr>
        <w:t>Pregunta de investigación</w:t>
      </w:r>
    </w:p>
    <w:p>
      <w:r>
        <w:rPr>
          <w:rFonts w:ascii="Arial" w:hAnsi="Arial"/>
          <w:b/>
          <w:sz w:val="22"/>
        </w:rPr>
        <w:t>¿Cómo se configuran las mediaciones comunicativas —y qué tensiones y potencialidades emergen— cuando estudiantes de trabajo de grado de la Facultad de Comunicaciones de la Universidad de Antioquia incorporan flujos de trabajo con inteligencia artificial generativa en sus procesos de investigación y escritura académica orientados al ejercicio del pensamiento crítico?</w:t>
      </w:r>
    </w:p>
    <w:p>
      <w:pPr>
        <w:pStyle w:val="Heading1"/>
      </w:pPr>
      <w:r>
        <w:rPr>
          <w:rFonts w:ascii="Arial" w:hAnsi="Arial"/>
          <w:sz w:val="22"/>
        </w:rPr>
        <w:t>Preguntas complementarias</w:t>
      </w:r>
    </w:p>
    <w:p>
      <w:r>
        <w:rPr>
          <w:rFonts w:ascii="Arial" w:hAnsi="Arial"/>
          <w:b w:val="0"/>
          <w:sz w:val="22"/>
        </w:rPr>
        <w:t>¿Qué formas de uso, percepciones, acuerdos y tensiones expresan los estudiantes de trabajo de grado frente a la IA generativa, en relación con sus prácticas de investigación, lectura, escritura, argumentación y declaración de uso?</w:t>
      </w:r>
    </w:p>
    <w:p>
      <w:r>
        <w:rPr>
          <w:rFonts w:ascii="Arial" w:hAnsi="Arial"/>
          <w:b w:val="0"/>
          <w:sz w:val="22"/>
        </w:rPr>
        <w:t>¿Bajo qué condiciones pedagógicas y de diseño —formulación de preguntas, verificación de fuentes, contraste de respuestas, revisión de argumentos y autorregulación— los flujos de trabajo con IA pueden contribuir a problematizar el pensamiento crítico en lugar de debilitarlo?</w:t>
      </w:r>
    </w:p>
    <w:p>
      <w:r>
        <w:rPr>
          <w:rFonts w:ascii="Arial" w:hAnsi="Arial"/>
          <w:b w:val="0"/>
          <w:sz w:val="22"/>
        </w:rPr>
        <w:t>¿Qué características observables del pensamiento crítico se activan, se desplazan o se pierden cuando la IA interviene como interlocutora en la búsqueda de información, la construcción de estados del arte y la toma de decisiones de escritura?</w:t>
      </w:r>
    </w:p>
    <w:p>
      <w:r>
        <w:rPr>
          <w:rFonts w:ascii="Arial" w:hAnsi="Arial"/>
          <w:b w:val="0"/>
          <w:sz w:val="22"/>
        </w:rPr>
        <w:t>¿Qué riesgos —dependencia cognitiva, sobreconfianza, citas fabricadas, autoría diluida, reproducción acrítica— aparecen cuando los flujos no incluyen momentos explícitos de verificación, contraste y declaración transparente?</w:t>
      </w:r>
    </w:p>
    <w:p>
      <w:r>
        <w:rPr>
          <w:rFonts w:ascii="Arial" w:hAnsi="Arial"/>
          <w:b w:val="0"/>
          <w:sz w:val="22"/>
        </w:rPr>
        <w:t>¿Qué criterios, componentes y orientaciones debe integrar un kit crítico de flujos de trabajo con IA generativa para fortalecer el pensamiento crítico en procesos de trabajo de grado, y cómo se ajustan a un contexto comunicacional latinoamericano?</w:t>
      </w:r>
    </w:p>
    <w:p>
      <w:pPr>
        <w:pStyle w:val="Heading1"/>
      </w:pPr>
      <w:r>
        <w:rPr>
          <w:rFonts w:ascii="Arial" w:hAnsi="Arial"/>
          <w:sz w:val="22"/>
        </w:rPr>
        <w:t>Objetivos</w:t>
      </w:r>
    </w:p>
    <w:p>
      <w:r>
        <w:rPr>
          <w:rFonts w:ascii="Arial" w:hAnsi="Arial"/>
          <w:b/>
          <w:sz w:val="22"/>
        </w:rPr>
        <w:t>Objetivo general</w:t>
      </w:r>
    </w:p>
    <w:p>
      <w:r>
        <w:rPr>
          <w:rFonts w:ascii="Arial" w:hAnsi="Arial"/>
          <w:b w:val="0"/>
          <w:sz w:val="22"/>
        </w:rPr>
        <w:t>Diseñar, implementar y analizar flujos de trabajo con inteligencia artificial generativa orientados a fortalecer el pensamiento crítico en procesos de investigación y escritura académica de estudiantes de trabajo de grado de la Facultad de Comunicaciones de la Universidad de Antioquia.</w:t>
      </w:r>
    </w:p>
    <w:p>
      <w:r>
        <w:rPr>
          <w:rFonts w:ascii="Arial" w:hAnsi="Arial"/>
          <w:b/>
          <w:sz w:val="22"/>
        </w:rPr>
        <w:t>Objetivos específicos</w:t>
      </w:r>
    </w:p>
    <w:p>
      <w:r>
        <w:rPr>
          <w:rFonts w:ascii="Arial" w:hAnsi="Arial"/>
          <w:b w:val="0"/>
          <w:sz w:val="22"/>
        </w:rPr>
        <w:t>Identificar los usos, percepciones y tensiones que tienen estudiantes de trabajo de grado frente a la inteligencia artificial generativa en sus procesos de investigación y escritura académica.</w:t>
      </w:r>
    </w:p>
    <w:p>
      <w:r>
        <w:rPr>
          <w:rFonts w:ascii="Arial" w:hAnsi="Arial"/>
          <w:b w:val="0"/>
          <w:sz w:val="22"/>
        </w:rPr>
        <w:t>Diseñar flujos de trabajo con IA generativa que promuevan habilidades de pensamiento crítico como formulación de preguntas, evaluación de fuentes, verificación de información, argumentación y autorregulación.</w:t>
      </w:r>
    </w:p>
    <w:p>
      <w:r>
        <w:rPr>
          <w:rFonts w:ascii="Arial" w:hAnsi="Arial"/>
          <w:b w:val="0"/>
          <w:sz w:val="22"/>
        </w:rPr>
        <w:t>Implementar una experiencia piloto con estudiantes de trabajo de grado para probar los flujos diseñados en actividades de búsqueda, lectura crítica, escritura y revisión académica.</w:t>
      </w:r>
    </w:p>
    <w:p>
      <w:r>
        <w:rPr>
          <w:rFonts w:ascii="Arial" w:hAnsi="Arial"/>
          <w:b w:val="0"/>
          <w:sz w:val="22"/>
        </w:rPr>
        <w:t>Analizar cómo los estudiantes usan, cuestionan, verifican o reformulan las respuestas producidas por IA durante sus procesos de investigación y escritura.</w:t>
      </w:r>
    </w:p>
    <w:p>
      <w:r>
        <w:rPr>
          <w:rFonts w:ascii="Arial" w:hAnsi="Arial"/>
          <w:b w:val="0"/>
          <w:sz w:val="22"/>
        </w:rPr>
        <w:t>Reconocer los riesgos y límites del uso de IA generativa en relación con dependencia tecnológica, reproducción acrítica de información, sesgos, autoría e integridad académica.</w:t>
      </w:r>
    </w:p>
    <w:p>
      <w:r>
        <w:rPr>
          <w:rFonts w:ascii="Arial" w:hAnsi="Arial"/>
          <w:b w:val="0"/>
          <w:sz w:val="22"/>
        </w:rPr>
        <w:t>Proponer un kit de orientaciones para usar IA generativa de manera crítica, verificable y transparente en procesos de trabajo de grado.</w:t>
      </w:r>
    </w:p>
    <w:p>
      <w:pPr>
        <w:pStyle w:val="Heading1"/>
      </w:pPr>
      <w:r>
        <w:rPr>
          <w:rFonts w:ascii="Arial" w:hAnsi="Arial"/>
          <w:sz w:val="22"/>
        </w:rPr>
        <w:t>Justificación</w:t>
      </w:r>
    </w:p>
    <w:p>
      <w:r>
        <w:rPr>
          <w:rFonts w:ascii="Arial" w:hAnsi="Arial"/>
          <w:b w:val="0"/>
          <w:sz w:val="22"/>
        </w:rPr>
        <w:t>Esta investigación es pertinente porque aborda una tensión central de la educación superior contemporánea: la IA generativa puede apoyar la investigación y la escritura académica, pero también puede debilitar el pensamiento crítico si se usa como sustituto del juicio, la lectura, la verificación y la argumentación del estudiante. Aporta al campo de Comunicaciones al entender la IA generativa como mediación comunicativa y al campo pedagógico al proponer flujos de trabajo que permiten declarar el uso, verificar fuentes, contrastar respuestas, revisar argumentos y justificar decisiones.</w:t>
      </w:r>
    </w:p>
    <w:p>
      <w:pPr>
        <w:pStyle w:val="Heading1"/>
      </w:pPr>
      <w:r>
        <w:rPr>
          <w:rFonts w:ascii="Arial" w:hAnsi="Arial"/>
          <w:sz w:val="22"/>
        </w:rPr>
        <w:t>Producto esperado</w:t>
      </w:r>
    </w:p>
    <w:p>
      <w:r>
        <w:rPr>
          <w:rFonts w:ascii="Arial" w:hAnsi="Arial"/>
          <w:b w:val="0"/>
          <w:sz w:val="22"/>
        </w:rPr>
        <w:t>Kit crítico de flujos de trabajo con IA generativa para investigación y escritura académica en trabajo de grado, con componentes para formular preguntas, evaluar fuentes, lectura crítica, escritura con autorregulación, matriz de verificación, formato de declaración de uso y rúbrica básica de pensamiento crítico.</w:t>
      </w:r>
    </w:p>
    <w:p>
      <w:pPr>
        <w:pStyle w:val="Heading1"/>
      </w:pPr>
      <w:r>
        <w:rPr>
          <w:rFonts w:ascii="Arial" w:hAnsi="Arial"/>
          <w:sz w:val="22"/>
        </w:rPr>
        <w:t>Referencias citadas en el planteamiento (APA 7)</w:t>
      </w:r>
    </w:p>
    <w:p>
      <w:pPr>
        <w:pStyle w:val="ListBullet"/>
      </w:pPr>
      <w:r>
        <w:rPr>
          <w:rFonts w:ascii="Arial" w:hAnsi="Arial"/>
          <w:sz w:val="22"/>
        </w:rPr>
        <w:t>Banihashem, S. K., Kerman, N. T., Noroozi, O., Moon, J., y Drachsler, H. (2024). Feedback sources in essay writing: Peer-generated or AI-generated feedback? International Journal of Educational Technology in Higher Education, 21, 23. https://doi.org/10.1186/s41239-024-00455-4</w:t>
      </w:r>
    </w:p>
    <w:p>
      <w:pPr>
        <w:pStyle w:val="ListBullet"/>
      </w:pPr>
      <w:r>
        <w:rPr>
          <w:rFonts w:ascii="Arial" w:hAnsi="Arial"/>
          <w:sz w:val="22"/>
        </w:rPr>
        <w:t>Chan, C. K. Y., y Hu, W. (2023). Students’ voices on generative AI: Perceptions, benefits, and challenges in higher education. International Journal of Educational Technology in Higher Education, 20, 43. https://doi.org/10.1186/s41239-023-00411-8</w:t>
      </w:r>
    </w:p>
    <w:p>
      <w:pPr>
        <w:pStyle w:val="ListBullet"/>
      </w:pPr>
      <w:r>
        <w:rPr>
          <w:rFonts w:ascii="Arial" w:hAnsi="Arial"/>
          <w:sz w:val="22"/>
        </w:rPr>
        <w:t>Cotton, D. R. E., Cotton, P. A., y Shipway, J. R. (2024). Chatting and cheating: Ensuring academic integrity in the era of ChatGPT. Innovations in Education and Teaching International, 61(2), 228–239. https://doi.org/10.1080/14703297.2023.2190148</w:t>
      </w:r>
    </w:p>
    <w:p>
      <w:pPr>
        <w:pStyle w:val="ListBullet"/>
      </w:pPr>
      <w:r>
        <w:rPr>
          <w:rFonts w:ascii="Arial" w:hAnsi="Arial"/>
          <w:sz w:val="22"/>
        </w:rPr>
        <w:t>Crompton, H., y Burke, D. (2023). Artificial intelligence in higher education: The state of the field. International Journal of Educational Technology in Higher Education, 20, 22. https://doi.org/10.1186/s41239-023-00392-8</w:t>
      </w:r>
    </w:p>
    <w:p>
      <w:pPr>
        <w:pStyle w:val="ListBullet"/>
      </w:pPr>
      <w:r>
        <w:rPr>
          <w:rFonts w:ascii="Arial" w:hAnsi="Arial"/>
          <w:sz w:val="22"/>
        </w:rPr>
        <w:t>Dwivedi, Y. K., Kshetri, N., Hughes, L., et al. (2023). Opinion Paper: “So what if ChatGPT wrote it?” International Journal of Information Management, 71, 102642. https://doi.org/10.1016/j.ijinfomgt.2023.102642</w:t>
      </w:r>
    </w:p>
    <w:p>
      <w:pPr>
        <w:pStyle w:val="ListBullet"/>
      </w:pPr>
      <w:r>
        <w:rPr>
          <w:rFonts w:ascii="Arial" w:hAnsi="Arial"/>
          <w:sz w:val="22"/>
        </w:rPr>
        <w:t>Gerlich, M. (2025). AI tools in society: Impacts on cognitive offloading and the future of critical thinking. Societies, 15(1), 6. https://doi.org/10.3390/soc15010006</w:t>
      </w:r>
    </w:p>
    <w:p>
      <w:pPr>
        <w:pStyle w:val="ListBullet"/>
      </w:pPr>
      <w:r>
        <w:rPr>
          <w:rFonts w:ascii="Arial" w:hAnsi="Arial"/>
          <w:sz w:val="22"/>
        </w:rPr>
        <w:t>Imran, M., y Almusharraf, N. (2023). Analyzing the role of ChatGPT as a writing assistant at higher education level. Contemporary Educational Technology, 15(4), ep464. https://doi.org/10.30935/cedtech/13605</w:t>
      </w:r>
    </w:p>
    <w:p>
      <w:pPr>
        <w:pStyle w:val="ListBullet"/>
      </w:pPr>
      <w:r>
        <w:rPr>
          <w:rFonts w:ascii="Arial" w:hAnsi="Arial"/>
          <w:sz w:val="22"/>
        </w:rPr>
        <w:t>Kasneci, E., Seßler, K., Küchemann, S., Bannert, M., et al. (2023). ChatGPT for good? On opportunities and challenges of large language models for education. Learning and Individual Differences, 103, 102274. https://doi.org/10.1016/j.lindif.2023.102274</w:t>
      </w:r>
    </w:p>
    <w:p>
      <w:pPr>
        <w:pStyle w:val="ListBullet"/>
      </w:pPr>
      <w:r>
        <w:rPr>
          <w:rFonts w:ascii="Arial" w:hAnsi="Arial"/>
          <w:sz w:val="22"/>
        </w:rPr>
        <w:t>Lee, H. P., et al. (2025). The impact of generative AI on critical thinking: Self-reported reductions in cognitive effort and confidence effects from a survey of knowledge workers. Proceedings of CHI 2025, ACM. https://doi.org/10.1145/3706598.3713778</w:t>
      </w:r>
    </w:p>
    <w:p>
      <w:pPr>
        <w:pStyle w:val="ListBullet"/>
      </w:pPr>
      <w:r>
        <w:rPr>
          <w:rFonts w:ascii="Arial" w:hAnsi="Arial"/>
          <w:sz w:val="22"/>
        </w:rPr>
        <w:t>Lo, C. K. (2023). What is the impact of ChatGPT on education? A rapid review of the literature. Education Sciences, 13(4), 410. https://doi.org/10.3390/educsci13040410</w:t>
      </w:r>
    </w:p>
    <w:p>
      <w:pPr>
        <w:pStyle w:val="ListBullet"/>
      </w:pPr>
      <w:r>
        <w:rPr>
          <w:rFonts w:ascii="Arial" w:hAnsi="Arial"/>
          <w:sz w:val="22"/>
        </w:rPr>
        <w:t>Mahapatra, S. (2024). Impact of ChatGPT on ESL students’ academic writing skills. Smart Learning Environments, 11, 9. https://doi.org/10.1186/s40561-024-00295-9</w:t>
      </w:r>
    </w:p>
    <w:p>
      <w:pPr>
        <w:pStyle w:val="ListBullet"/>
      </w:pPr>
      <w:r>
        <w:rPr>
          <w:rFonts w:ascii="Arial" w:hAnsi="Arial"/>
          <w:sz w:val="22"/>
        </w:rPr>
        <w:t>Martín-Barbero, J. (1987). De los medios a las mediaciones: Comunicación, cultura y hegemonía. Editorial Gustavo Gili.</w:t>
      </w:r>
    </w:p>
    <w:p>
      <w:pPr>
        <w:pStyle w:val="ListBullet"/>
      </w:pPr>
      <w:r>
        <w:rPr>
          <w:rFonts w:ascii="Arial" w:hAnsi="Arial"/>
          <w:sz w:val="22"/>
        </w:rPr>
        <w:t>Miao, F., y Holmes, W. (2023). Guidance for generative AI in education and research. UNESCO. https://unesdoc.unesco.org/ark:/48223/pf0000386693</w:t>
      </w:r>
    </w:p>
    <w:p>
      <w:pPr>
        <w:pStyle w:val="ListBullet"/>
      </w:pPr>
      <w:r>
        <w:rPr>
          <w:rFonts w:ascii="Arial" w:hAnsi="Arial"/>
          <w:sz w:val="22"/>
        </w:rPr>
        <w:t>Perkins, M. (2023). Academic integrity considerations of AI Large Language Models in the post-pandemic era. Journal of University Teaching and Learning Practice, 20(2). https://doi.org/10.53761/1.20.02.07</w:t>
      </w:r>
    </w:p>
    <w:p>
      <w:pPr>
        <w:pStyle w:val="ListBullet"/>
      </w:pPr>
      <w:r>
        <w:rPr>
          <w:rFonts w:ascii="Arial" w:hAnsi="Arial"/>
          <w:sz w:val="22"/>
        </w:rPr>
        <w:t>Perkins, M., Furze, L., Roe, J., y MacVaugh, J. (2024). The Artificial Intelligence Assessment Scale (AIAS). Journal of University Teaching and Learning Practice, 21(6). https://doi.org/10.53761/q3azde36</w:t>
      </w:r>
    </w:p>
    <w:p>
      <w:pPr>
        <w:pStyle w:val="ListBullet"/>
      </w:pPr>
      <w:r>
        <w:rPr>
          <w:rFonts w:ascii="Arial" w:hAnsi="Arial"/>
          <w:sz w:val="22"/>
        </w:rPr>
        <w:t>Risko, E. F., y Gilbert, S. J. (2016). Cognitive offloading. Trends in Cognitive Sciences, 20(9), 676–688. https://doi.org/10.1016/j.tics.2016.07.002</w:t>
      </w:r>
    </w:p>
    <w:p>
      <w:pPr>
        <w:pStyle w:val="ListBullet"/>
      </w:pPr>
      <w:r>
        <w:rPr>
          <w:rFonts w:ascii="Arial" w:hAnsi="Arial"/>
          <w:sz w:val="22"/>
        </w:rPr>
        <w:t>Salas-Pilco, S. Z., y Yang, Y. (2022). Artificial intelligence applications in Latin American higher education: A systematic review. International Journal of Educational Technology in Higher Education, 19, 21. https://doi.org/10.1186/s41239-022-00326-w</w:t>
      </w:r>
    </w:p>
    <w:p>
      <w:pPr>
        <w:pStyle w:val="ListBullet"/>
      </w:pPr>
      <w:r>
        <w:rPr>
          <w:rFonts w:ascii="Arial" w:hAnsi="Arial"/>
          <w:sz w:val="22"/>
        </w:rPr>
        <w:t>Walters, W. H., y Wilder, E. I. (2023). Fabrication and errors in the bibliographic citations generated by ChatGPT. Scientific Reports, 13, 14045. https://doi.org/10.1038/s41598-023-41032-5</w:t>
      </w:r>
    </w:p>
    <w:p>
      <w:pPr>
        <w:pStyle w:val="ListBullet"/>
      </w:pPr>
      <w:r>
        <w:rPr>
          <w:rFonts w:ascii="Arial" w:hAnsi="Arial"/>
          <w:sz w:val="22"/>
        </w:rPr>
        <w:t>Zawacki-Richter, O., Marín, V. I., Bond, M., y Gouverneur, F. (2019). Systematic review of research on artificial intelligence applications in higher education. International Journal of Educational Technology in Higher Education, 16, 39. https://doi.org/10.1186/s41239-019-0171-0</w:t>
      </w:r>
    </w:p>
    <w:p>
      <w:r>
        <w:rPr>
          <w:rFonts w:ascii="Arial" w:hAnsi="Arial"/>
          <w:sz w:val="22"/>
        </w:rPr>
        <w:br w:type="page"/>
      </w:r>
    </w:p>
    <w:p>
      <w:pPr>
        <w:pStyle w:val="Heading1"/>
      </w:pPr>
      <w:r>
        <w:rPr>
          <w:rFonts w:ascii="Arial" w:hAnsi="Arial"/>
          <w:sz w:val="22"/>
        </w:rPr>
        <w:t>Anexo. Mapa de autores para el marco teórico</w:t>
      </w:r>
    </w:p>
    <w:p>
      <w:r>
        <w:rPr>
          <w:rFonts w:ascii="Arial" w:hAnsi="Arial"/>
          <w:b w:val="0"/>
          <w:sz w:val="22"/>
        </w:rPr>
        <w:t>Este anexo consolida autores útiles para profundizar el marco teórico. Cada ficha se construyó de forma sintética y se referencia con cita base para verificación APA 7.</w:t>
      </w:r>
    </w:p>
    <w:p>
      <w:pPr>
        <w:pStyle w:val="ListBullet"/>
      </w:pPr>
      <w:r>
        <w:rPr>
          <w:rFonts w:ascii="Arial" w:hAnsi="Arial"/>
          <w:b/>
          <w:sz w:val="22"/>
        </w:rPr>
        <w:t xml:space="preserve">Jesús Martín-Barbero: </w:t>
      </w:r>
      <w:r>
        <w:rPr>
          <w:rFonts w:ascii="Arial" w:hAnsi="Arial"/>
          <w:sz w:val="22"/>
        </w:rPr>
        <w:t>Mediaciones comunicativas. La IA generativa se entiende como fenómeno situado en prácticas, normas y criterios de legitimidad académica.</w:t>
      </w:r>
    </w:p>
    <w:p>
      <w:pPr>
        <w:pStyle w:val="ListBullet"/>
      </w:pPr>
      <w:r>
        <w:rPr>
          <w:rFonts w:ascii="Arial" w:hAnsi="Arial"/>
          <w:b/>
          <w:sz w:val="22"/>
        </w:rPr>
        <w:t xml:space="preserve">Paulo Freire: </w:t>
      </w:r>
      <w:r>
        <w:rPr>
          <w:rFonts w:ascii="Arial" w:hAnsi="Arial"/>
          <w:sz w:val="22"/>
        </w:rPr>
        <w:t>Educación problematizadora. La IA no debe operar como depósito automático de respuestas, sino como objeto de diálogo, pregunta y decisión.</w:t>
      </w:r>
    </w:p>
    <w:p>
      <w:pPr>
        <w:pStyle w:val="ListBullet"/>
      </w:pPr>
      <w:r>
        <w:rPr>
          <w:rFonts w:ascii="Arial" w:hAnsi="Arial"/>
          <w:b/>
          <w:sz w:val="22"/>
        </w:rPr>
        <w:t xml:space="preserve">David Buckingham y Renee Hobbs: </w:t>
      </w:r>
      <w:r>
        <w:rPr>
          <w:rFonts w:ascii="Arial" w:hAnsi="Arial"/>
          <w:sz w:val="22"/>
        </w:rPr>
        <w:t>Alfabetización mediática y digital crítica. Análisis de representación, sesgos, producción de mensajes y responsabilidad.</w:t>
      </w:r>
    </w:p>
    <w:p>
      <w:pPr>
        <w:pStyle w:val="ListBullet"/>
      </w:pPr>
      <w:r>
        <w:rPr>
          <w:rFonts w:ascii="Arial" w:hAnsi="Arial"/>
          <w:b/>
          <w:sz w:val="22"/>
        </w:rPr>
        <w:t xml:space="preserve">Facione, Ennis, Paul y Elder: </w:t>
      </w:r>
      <w:r>
        <w:rPr>
          <w:rFonts w:ascii="Arial" w:hAnsi="Arial"/>
          <w:sz w:val="22"/>
        </w:rPr>
        <w:t>Pensamiento crítico operacional. Habilidades, disposiciones y estándares para observar interpretar, analizar, evaluar y autorregular.</w:t>
      </w:r>
    </w:p>
    <w:p>
      <w:pPr>
        <w:pStyle w:val="ListBullet"/>
      </w:pPr>
      <w:r>
        <w:rPr>
          <w:rFonts w:ascii="Arial" w:hAnsi="Arial"/>
          <w:b/>
          <w:sz w:val="22"/>
        </w:rPr>
        <w:t xml:space="preserve">Sherry Turkle y Neil Selwyn: </w:t>
      </w:r>
      <w:r>
        <w:rPr>
          <w:rFonts w:ascii="Arial" w:hAnsi="Arial"/>
          <w:sz w:val="22"/>
        </w:rPr>
        <w:t>Interacción humano-máquina, dependencia y crítica del solucionismo tecnológico en educación.</w:t>
      </w:r>
    </w:p>
    <w:p>
      <w:pPr>
        <w:pStyle w:val="ListBullet"/>
      </w:pPr>
      <w:r>
        <w:rPr>
          <w:rFonts w:ascii="Arial" w:hAnsi="Arial"/>
          <w:b/>
          <w:sz w:val="22"/>
        </w:rPr>
        <w:t xml:space="preserve">Norbert Wiener, Luciano Floridi y Virginia Dignum: </w:t>
      </w:r>
      <w:r>
        <w:rPr>
          <w:rFonts w:ascii="Arial" w:hAnsi="Arial"/>
          <w:sz w:val="22"/>
        </w:rPr>
        <w:t>Retroalimentación, ética y responsabilidad. La verificación, corrección y autoría permanecen humanas.</w:t>
      </w:r>
    </w:p>
    <w:p>
      <w:pPr>
        <w:pStyle w:val="Heading2"/>
      </w:pPr>
      <w:r>
        <w:rPr>
          <w:rFonts w:ascii="Arial" w:hAnsi="Arial"/>
          <w:sz w:val="22"/>
        </w:rPr>
        <w:t>Fichas sintéticas por autor</w:t>
      </w:r>
    </w:p>
    <w:p>
      <w:pPr>
        <w:pStyle w:val="Heading3"/>
      </w:pPr>
      <w:r>
        <w:rPr>
          <w:rFonts w:ascii="Arial" w:hAnsi="Arial"/>
          <w:sz w:val="22"/>
        </w:rPr>
        <w:t>Allan Luke</w:t>
      </w:r>
    </w:p>
    <w:p>
      <w:r>
        <w:rPr>
          <w:rFonts w:ascii="Arial" w:hAnsi="Arial"/>
          <w:b/>
          <w:sz w:val="22"/>
        </w:rPr>
        <w:t xml:space="preserve">Aporte: </w:t>
      </w:r>
      <w:r>
        <w:rPr>
          <w:rFonts w:ascii="Arial" w:hAnsi="Arial"/>
          <w:sz w:val="22"/>
        </w:rPr>
        <w:t>Conecta pensamiento crítico con análisis de textos, poder e instituciones; útil para evaluar cómo la IA organiza autoridad discursiva.</w:t>
      </w:r>
    </w:p>
    <w:p>
      <w:r>
        <w:rPr>
          <w:rFonts w:ascii="Arial" w:hAnsi="Arial"/>
          <w:b/>
          <w:sz w:val="22"/>
        </w:rPr>
        <w:t xml:space="preserve">Límite: </w:t>
      </w:r>
      <w:r>
        <w:rPr>
          <w:rFonts w:ascii="Arial" w:hAnsi="Arial"/>
          <w:sz w:val="22"/>
        </w:rPr>
        <w:t>Usarlo con Janks/Kellner-Share para no dispersar autores de alfabetización crítica.</w:t>
      </w:r>
    </w:p>
    <w:p>
      <w:r>
        <w:rPr>
          <w:rFonts w:ascii="Arial" w:hAnsi="Arial"/>
          <w:b/>
          <w:sz w:val="22"/>
        </w:rPr>
        <w:t xml:space="preserve">Referencia base: </w:t>
      </w:r>
      <w:r>
        <w:rPr>
          <w:rFonts w:ascii="Arial" w:hAnsi="Arial"/>
          <w:sz w:val="22"/>
        </w:rPr>
        <w:t>Luke, A. (2012). Critical literacy: Foundational notes. *Theory Into Practice, 51*(1), 4–11.</w:t>
      </w:r>
    </w:p>
    <w:p>
      <w:pPr>
        <w:pStyle w:val="Heading3"/>
      </w:pPr>
      <w:r>
        <w:rPr>
          <w:rFonts w:ascii="Arial" w:hAnsi="Arial"/>
          <w:sz w:val="22"/>
        </w:rPr>
        <w:t>Andrew Feenberg</w:t>
      </w:r>
    </w:p>
    <w:p>
      <w:r>
        <w:rPr>
          <w:rFonts w:ascii="Arial" w:hAnsi="Arial"/>
          <w:b/>
          <w:sz w:val="22"/>
        </w:rPr>
        <w:t xml:space="preserve">Aporte: </w:t>
      </w:r>
      <w:r>
        <w:rPr>
          <w:rFonts w:ascii="Arial" w:hAnsi="Arial"/>
          <w:sz w:val="22"/>
        </w:rPr>
        <w:t>Justifica que los flujos de IA son una intervención crítica sobre la tecnología: no se acepta tal como viene, se orienta hacia verificación y responsabilidad.</w:t>
      </w:r>
    </w:p>
    <w:p>
      <w:r>
        <w:rPr>
          <w:rFonts w:ascii="Arial" w:hAnsi="Arial"/>
          <w:b/>
          <w:sz w:val="22"/>
        </w:rPr>
        <w:t xml:space="preserve">Límite: </w:t>
      </w:r>
      <w:r>
        <w:rPr>
          <w:rFonts w:ascii="Arial" w:hAnsi="Arial"/>
          <w:sz w:val="22"/>
        </w:rPr>
        <w:t>No volver la tesis una teoría general de tecnología; usarlo para fundamentar el diseño crítico del kit.</w:t>
      </w:r>
    </w:p>
    <w:p>
      <w:r>
        <w:rPr>
          <w:rFonts w:ascii="Arial" w:hAnsi="Arial"/>
          <w:b/>
          <w:sz w:val="22"/>
        </w:rPr>
        <w:t xml:space="preserve">Referencia base: </w:t>
      </w:r>
      <w:r>
        <w:rPr>
          <w:rFonts w:ascii="Arial" w:hAnsi="Arial"/>
          <w:sz w:val="22"/>
        </w:rPr>
        <w:t>Feenberg, A. (1991). *Critical Theory of Technology*. Oxford University Press.</w:t>
      </w:r>
    </w:p>
    <w:p>
      <w:pPr>
        <w:pStyle w:val="Heading3"/>
      </w:pPr>
      <w:r>
        <w:rPr>
          <w:rFonts w:ascii="Arial" w:hAnsi="Arial"/>
          <w:sz w:val="22"/>
        </w:rPr>
        <w:t>Bernard Stiegler</w:t>
      </w:r>
    </w:p>
    <w:p>
      <w:r>
        <w:rPr>
          <w:rFonts w:ascii="Arial" w:hAnsi="Arial"/>
          <w:b/>
          <w:sz w:val="22"/>
        </w:rPr>
        <w:t xml:space="preserve">Aporte: </w:t>
      </w:r>
      <w:r>
        <w:rPr>
          <w:rFonts w:ascii="Arial" w:hAnsi="Arial"/>
          <w:sz w:val="22"/>
        </w:rPr>
        <w:t>Potente para pensar la IA como remedio y veneno: puede apoyar memoria y reflexión o automatizar criterio y debilitar atención.</w:t>
      </w:r>
    </w:p>
    <w:p>
      <w:r>
        <w:rPr>
          <w:rFonts w:ascii="Arial" w:hAnsi="Arial"/>
          <w:b/>
          <w:sz w:val="22"/>
        </w:rPr>
        <w:t xml:space="preserve">Límite: </w:t>
      </w:r>
      <w:r>
        <w:rPr>
          <w:rFonts w:ascii="Arial" w:hAnsi="Arial"/>
          <w:sz w:val="22"/>
        </w:rPr>
        <w:t>Denso; usarlo solo si se quiere mayor profundidad filosófica.</w:t>
      </w:r>
    </w:p>
    <w:p>
      <w:r>
        <w:rPr>
          <w:rFonts w:ascii="Arial" w:hAnsi="Arial"/>
          <w:b/>
          <w:sz w:val="22"/>
        </w:rPr>
        <w:t xml:space="preserve">Referencia base: </w:t>
      </w:r>
      <w:r>
        <w:rPr>
          <w:rFonts w:ascii="Arial" w:hAnsi="Arial"/>
          <w:sz w:val="22"/>
        </w:rPr>
        <w:t>Stiegler, B. (1994). *Technics and Time, 1: The Fault of Epimetheus*. Stanford University Press.</w:t>
      </w:r>
    </w:p>
    <w:p>
      <w:pPr>
        <w:pStyle w:val="Heading3"/>
      </w:pPr>
      <w:r>
        <w:rPr>
          <w:rFonts w:ascii="Arial" w:hAnsi="Arial"/>
          <w:sz w:val="22"/>
        </w:rPr>
        <w:t>Bruno Latour</w:t>
      </w:r>
    </w:p>
    <w:p>
      <w:r>
        <w:rPr>
          <w:rFonts w:ascii="Arial" w:hAnsi="Arial"/>
          <w:b/>
          <w:sz w:val="22"/>
        </w:rPr>
        <w:t xml:space="preserve">Aporte: </w:t>
      </w:r>
      <w:r>
        <w:rPr>
          <w:rFonts w:ascii="Arial" w:hAnsi="Arial"/>
          <w:sz w:val="22"/>
        </w:rPr>
        <w:t>Permite describir el texto académico con IA como producto de una red: estudiante, prompt, modelo, fuente, docente, rúbrica y documento.</w:t>
      </w:r>
    </w:p>
    <w:p>
      <w:r>
        <w:rPr>
          <w:rFonts w:ascii="Arial" w:hAnsi="Arial"/>
          <w:b/>
          <w:sz w:val="22"/>
        </w:rPr>
        <w:t xml:space="preserve">Límite: </w:t>
      </w:r>
      <w:r>
        <w:rPr>
          <w:rFonts w:ascii="Arial" w:hAnsi="Arial"/>
          <w:sz w:val="22"/>
        </w:rPr>
        <w:t>Puede complicar demasiado la metodología; usarlo como apoyo si se analiza red de mediaciones.</w:t>
      </w:r>
    </w:p>
    <w:p>
      <w:r>
        <w:rPr>
          <w:rFonts w:ascii="Arial" w:hAnsi="Arial"/>
          <w:b/>
          <w:sz w:val="22"/>
        </w:rPr>
        <w:t xml:space="preserve">Referencia base: </w:t>
      </w:r>
      <w:r>
        <w:rPr>
          <w:rFonts w:ascii="Arial" w:hAnsi="Arial"/>
          <w:sz w:val="22"/>
        </w:rPr>
        <w:t>Latour, B. (2005). *Reassembling the Social: An Introduction to Actor-Network-Theory*. Oxford University Press.</w:t>
      </w:r>
    </w:p>
    <w:p>
      <w:pPr>
        <w:pStyle w:val="Heading3"/>
      </w:pPr>
      <w:r>
        <w:rPr>
          <w:rFonts w:ascii="Arial" w:hAnsi="Arial"/>
          <w:sz w:val="22"/>
        </w:rPr>
        <w:t>Carlos A. Scolari</w:t>
      </w:r>
    </w:p>
    <w:p>
      <w:r>
        <w:rPr>
          <w:rFonts w:ascii="Arial" w:hAnsi="Arial"/>
          <w:b/>
          <w:sz w:val="22"/>
        </w:rPr>
        <w:t xml:space="preserve">Aporte: </w:t>
      </w:r>
      <w:r>
        <w:rPr>
          <w:rFonts w:ascii="Arial" w:hAnsi="Arial"/>
          <w:sz w:val="22"/>
        </w:rPr>
        <w:t>Actualiza la discusión de mediaciones para ecosistemas digitales: ChatGPT, Drive, Obsidian, buscadores, rúbricas, chats docentes y documentos como ecología de interfaces.</w:t>
      </w:r>
    </w:p>
    <w:p>
      <w:r>
        <w:rPr>
          <w:rFonts w:ascii="Arial" w:hAnsi="Arial"/>
          <w:b/>
          <w:sz w:val="22"/>
        </w:rPr>
        <w:t xml:space="preserve">Límite: </w:t>
      </w:r>
      <w:r>
        <w:rPr>
          <w:rFonts w:ascii="Arial" w:hAnsi="Arial"/>
          <w:sz w:val="22"/>
        </w:rPr>
        <w:t>Evitar desviarse a transmedia si no aporta directamente al flujo académico con IA.</w:t>
      </w:r>
    </w:p>
    <w:p>
      <w:r>
        <w:rPr>
          <w:rFonts w:ascii="Arial" w:hAnsi="Arial"/>
          <w:b/>
          <w:sz w:val="22"/>
        </w:rPr>
        <w:t xml:space="preserve">Referencia base: </w:t>
      </w:r>
      <w:r>
        <w:rPr>
          <w:rFonts w:ascii="Arial" w:hAnsi="Arial"/>
          <w:sz w:val="22"/>
        </w:rPr>
        <w:t>Scolari, C. A. (2008). *Hipermediaciones: Elementos para una teoría de la comunicación digital interactiva*. Gedisa.</w:t>
      </w:r>
    </w:p>
    <w:p>
      <w:pPr>
        <w:pStyle w:val="Heading3"/>
      </w:pPr>
      <w:r>
        <w:rPr>
          <w:rFonts w:ascii="Arial" w:hAnsi="Arial"/>
          <w:sz w:val="22"/>
        </w:rPr>
        <w:t>Nick Couldry y Ulises A. Mejias</w:t>
      </w:r>
    </w:p>
    <w:p>
      <w:r>
        <w:rPr>
          <w:rFonts w:ascii="Arial" w:hAnsi="Arial"/>
          <w:b/>
          <w:sz w:val="22"/>
        </w:rPr>
        <w:t xml:space="preserve">Aporte: </w:t>
      </w:r>
      <w:r>
        <w:rPr>
          <w:rFonts w:ascii="Arial" w:hAnsi="Arial"/>
          <w:sz w:val="22"/>
        </w:rPr>
        <w:t>Útil para una lectura latinoamericana: al usar IA se entregan datos, preguntas, textos y patrones cognitivos a infraestructuras privadas globales.</w:t>
      </w:r>
    </w:p>
    <w:p>
      <w:r>
        <w:rPr>
          <w:rFonts w:ascii="Arial" w:hAnsi="Arial"/>
          <w:b/>
          <w:sz w:val="22"/>
        </w:rPr>
        <w:t xml:space="preserve">Límite: </w:t>
      </w:r>
      <w:r>
        <w:rPr>
          <w:rFonts w:ascii="Arial" w:hAnsi="Arial"/>
          <w:sz w:val="22"/>
        </w:rPr>
        <w:t>No sobredimensionar si el foco empírico es pensamiento crítico; usar para contexto sociopolítico.</w:t>
      </w:r>
    </w:p>
    <w:p>
      <w:r>
        <w:rPr>
          <w:rFonts w:ascii="Arial" w:hAnsi="Arial"/>
          <w:b/>
          <w:sz w:val="22"/>
        </w:rPr>
        <w:t xml:space="preserve">Referencia base: </w:t>
      </w:r>
      <w:r>
        <w:rPr>
          <w:rFonts w:ascii="Arial" w:hAnsi="Arial"/>
          <w:sz w:val="22"/>
        </w:rPr>
        <w:t>Couldry, N., &amp; Mejias, U. A. (2019). *The Costs of Connection*. Stanford University Press.</w:t>
      </w:r>
    </w:p>
    <w:p>
      <w:pPr>
        <w:pStyle w:val="Heading3"/>
      </w:pPr>
      <w:r>
        <w:rPr>
          <w:rFonts w:ascii="Arial" w:hAnsi="Arial"/>
          <w:sz w:val="22"/>
        </w:rPr>
        <w:t>David Buckingham</w:t>
      </w:r>
    </w:p>
    <w:p>
      <w:r>
        <w:rPr>
          <w:rFonts w:ascii="Arial" w:hAnsi="Arial"/>
          <w:b/>
          <w:sz w:val="22"/>
        </w:rPr>
        <w:t xml:space="preserve">Aporte: </w:t>
      </w:r>
      <w:r>
        <w:rPr>
          <w:rFonts w:ascii="Arial" w:hAnsi="Arial"/>
          <w:sz w:val="22"/>
        </w:rPr>
        <w:t>Evita que el kit se reduzca a prompts. Enseñar IA implica analizar cómo representa, qué oculta, qué sesgos reproduce y bajo qué intereses opera.</w:t>
      </w:r>
    </w:p>
    <w:p>
      <w:r>
        <w:rPr>
          <w:rFonts w:ascii="Arial" w:hAnsi="Arial"/>
          <w:b/>
          <w:sz w:val="22"/>
        </w:rPr>
        <w:t xml:space="preserve">Límite: </w:t>
      </w:r>
      <w:r>
        <w:rPr>
          <w:rFonts w:ascii="Arial" w:hAnsi="Arial"/>
          <w:sz w:val="22"/>
        </w:rPr>
        <w:t>No hablar de “alfabetización digital” como destreza técnica; mantener la dimensión crítica.</w:t>
      </w:r>
    </w:p>
    <w:p>
      <w:r>
        <w:rPr>
          <w:rFonts w:ascii="Arial" w:hAnsi="Arial"/>
          <w:b/>
          <w:sz w:val="22"/>
        </w:rPr>
        <w:t xml:space="preserve">Referencia base: </w:t>
      </w:r>
      <w:r>
        <w:rPr>
          <w:rFonts w:ascii="Arial" w:hAnsi="Arial"/>
          <w:sz w:val="22"/>
        </w:rPr>
        <w:t>Buckingham, D. (2003). *Media Education: Literacy, Learning and Contemporary Culture*. Polity.</w:t>
      </w:r>
    </w:p>
    <w:p>
      <w:pPr>
        <w:pStyle w:val="Heading3"/>
      </w:pPr>
      <w:r>
        <w:rPr>
          <w:rFonts w:ascii="Arial" w:hAnsi="Arial"/>
          <w:sz w:val="22"/>
        </w:rPr>
        <w:t>Douglas Kellner y Jeff Share</w:t>
      </w:r>
    </w:p>
    <w:p>
      <w:r>
        <w:rPr>
          <w:rFonts w:ascii="Arial" w:hAnsi="Arial"/>
          <w:b/>
          <w:sz w:val="22"/>
        </w:rPr>
        <w:t xml:space="preserve">Aporte: </w:t>
      </w:r>
      <w:r>
        <w:rPr>
          <w:rFonts w:ascii="Arial" w:hAnsi="Arial"/>
          <w:sz w:val="22"/>
        </w:rPr>
        <w:t>Ayudan a evaluar la IA como medio que produce mensajes y reproduce ideologías, sesgos o formas de autoridad.</w:t>
      </w:r>
    </w:p>
    <w:p>
      <w:r>
        <w:rPr>
          <w:rFonts w:ascii="Arial" w:hAnsi="Arial"/>
          <w:b/>
          <w:sz w:val="22"/>
        </w:rPr>
        <w:t xml:space="preserve">Límite: </w:t>
      </w:r>
      <w:r>
        <w:rPr>
          <w:rFonts w:ascii="Arial" w:hAnsi="Arial"/>
          <w:sz w:val="22"/>
        </w:rPr>
        <w:t>Evitar redundancia con Buckingham; asignarles función de poder/ideología.</w:t>
      </w:r>
    </w:p>
    <w:p>
      <w:r>
        <w:rPr>
          <w:rFonts w:ascii="Arial" w:hAnsi="Arial"/>
          <w:b/>
          <w:sz w:val="22"/>
        </w:rPr>
        <w:t xml:space="preserve">Referencia base: </w:t>
      </w:r>
      <w:r>
        <w:rPr>
          <w:rFonts w:ascii="Arial" w:hAnsi="Arial"/>
          <w:sz w:val="22"/>
        </w:rPr>
        <w:t>Kellner, D., &amp; Share, J. (2007). Critical media literacy, democracy, and the reconstruction of education. En *Media Literacy: A Reader*. Peter Lang.</w:t>
      </w:r>
    </w:p>
    <w:p>
      <w:pPr>
        <w:pStyle w:val="Heading3"/>
      </w:pPr>
      <w:r>
        <w:rPr>
          <w:rFonts w:ascii="Arial" w:hAnsi="Arial"/>
          <w:sz w:val="22"/>
        </w:rPr>
        <w:t>Guillermo Orozco Gómez</w:t>
      </w:r>
    </w:p>
    <w:p>
      <w:r>
        <w:rPr>
          <w:rFonts w:ascii="Arial" w:hAnsi="Arial"/>
          <w:b/>
          <w:sz w:val="22"/>
        </w:rPr>
        <w:t xml:space="preserve">Aporte: </w:t>
      </w:r>
      <w:r>
        <w:rPr>
          <w:rFonts w:ascii="Arial" w:hAnsi="Arial"/>
          <w:sz w:val="22"/>
        </w:rPr>
        <w:t>Ayuda a mirar al estudiante como sujeto activo que interpreta, negocia, duda o reutiliza respuestas de IA según mediaciones institucionales, cognitivas, culturales y pedagógicas.</w:t>
      </w:r>
    </w:p>
    <w:p>
      <w:r>
        <w:rPr>
          <w:rFonts w:ascii="Arial" w:hAnsi="Arial"/>
          <w:b/>
          <w:sz w:val="22"/>
        </w:rPr>
        <w:t xml:space="preserve">Límite: </w:t>
      </w:r>
      <w:r>
        <w:rPr>
          <w:rFonts w:ascii="Arial" w:hAnsi="Arial"/>
          <w:sz w:val="22"/>
        </w:rPr>
        <w:t>No trasladar mecánicamente la recepción televisiva a IA; usarlo como analogía metodológica.</w:t>
      </w:r>
    </w:p>
    <w:p>
      <w:r>
        <w:rPr>
          <w:rFonts w:ascii="Arial" w:hAnsi="Arial"/>
          <w:b/>
          <w:sz w:val="22"/>
        </w:rPr>
        <w:t xml:space="preserve">Referencia base: </w:t>
      </w:r>
      <w:r>
        <w:rPr>
          <w:rFonts w:ascii="Arial" w:hAnsi="Arial"/>
          <w:sz w:val="22"/>
        </w:rPr>
        <w:t>Orozco Gómez, G. (1996). *Televisión y audiencias: Un enfoque cualitativo*. Ediciones de la Torre / Universidad Iberoamericana.</w:t>
      </w:r>
    </w:p>
    <w:p>
      <w:pPr>
        <w:pStyle w:val="Heading3"/>
      </w:pPr>
      <w:r>
        <w:rPr>
          <w:rFonts w:ascii="Arial" w:hAnsi="Arial"/>
          <w:sz w:val="22"/>
        </w:rPr>
        <w:t>Helen Nissenbaum</w:t>
      </w:r>
    </w:p>
    <w:p>
      <w:r>
        <w:rPr>
          <w:rFonts w:ascii="Arial" w:hAnsi="Arial"/>
          <w:b/>
          <w:sz w:val="22"/>
        </w:rPr>
        <w:t xml:space="preserve">Aporte: </w:t>
      </w:r>
      <w:r>
        <w:rPr>
          <w:rFonts w:ascii="Arial" w:hAnsi="Arial"/>
          <w:sz w:val="22"/>
        </w:rPr>
        <w:t>Sirve para decidir qué datos académicos, entrevistas o borradores no deberían cargarse en plataformas de IA sin cuidado ético.</w:t>
      </w:r>
    </w:p>
    <w:p>
      <w:r>
        <w:rPr>
          <w:rFonts w:ascii="Arial" w:hAnsi="Arial"/>
          <w:b/>
          <w:sz w:val="22"/>
        </w:rPr>
        <w:t xml:space="preserve">Límite: </w:t>
      </w:r>
      <w:r>
        <w:rPr>
          <w:rFonts w:ascii="Arial" w:hAnsi="Arial"/>
          <w:sz w:val="22"/>
        </w:rPr>
        <w:t>Usarla si el protocolo incluye privacidad de datos de participantes.</w:t>
      </w:r>
    </w:p>
    <w:p>
      <w:r>
        <w:rPr>
          <w:rFonts w:ascii="Arial" w:hAnsi="Arial"/>
          <w:b/>
          <w:sz w:val="22"/>
        </w:rPr>
        <w:t xml:space="preserve">Referencia base: </w:t>
      </w:r>
      <w:r>
        <w:rPr>
          <w:rFonts w:ascii="Arial" w:hAnsi="Arial"/>
          <w:sz w:val="22"/>
        </w:rPr>
        <w:t>Nissenbaum, H. (2010). *Privacy in Context: Technology, Policy, and the Integrity of Social Life*. Stanford University Press.</w:t>
      </w:r>
    </w:p>
    <w:p>
      <w:pPr>
        <w:pStyle w:val="Heading3"/>
      </w:pPr>
      <w:r>
        <w:rPr>
          <w:rFonts w:ascii="Arial" w:hAnsi="Arial"/>
          <w:sz w:val="22"/>
        </w:rPr>
        <w:t>Henry Jenkins</w:t>
      </w:r>
    </w:p>
    <w:p>
      <w:r>
        <w:rPr>
          <w:rFonts w:ascii="Arial" w:hAnsi="Arial"/>
          <w:b/>
          <w:sz w:val="22"/>
        </w:rPr>
        <w:t xml:space="preserve">Aporte: </w:t>
      </w:r>
      <w:r>
        <w:rPr>
          <w:rFonts w:ascii="Arial" w:hAnsi="Arial"/>
          <w:sz w:val="22"/>
        </w:rPr>
        <w:t>Permite ver al estudiante como productor de textos, borradores, mapas y argumentos, no solo como receptor de respuestas de IA.</w:t>
      </w:r>
    </w:p>
    <w:p>
      <w:r>
        <w:rPr>
          <w:rFonts w:ascii="Arial" w:hAnsi="Arial"/>
          <w:b/>
          <w:sz w:val="22"/>
        </w:rPr>
        <w:t xml:space="preserve">Límite: </w:t>
      </w:r>
      <w:r>
        <w:rPr>
          <w:rFonts w:ascii="Arial" w:hAnsi="Arial"/>
          <w:sz w:val="22"/>
        </w:rPr>
        <w:t>Mantener el foco académico; no desplazar la tesis hacia fans, transmedia o cultura participativa general.</w:t>
      </w:r>
    </w:p>
    <w:p>
      <w:r>
        <w:rPr>
          <w:rFonts w:ascii="Arial" w:hAnsi="Arial"/>
          <w:b/>
          <w:sz w:val="22"/>
        </w:rPr>
        <w:t xml:space="preserve">Referencia base: </w:t>
      </w:r>
      <w:r>
        <w:rPr>
          <w:rFonts w:ascii="Arial" w:hAnsi="Arial"/>
          <w:sz w:val="22"/>
        </w:rPr>
        <w:t>Jenkins, H. (2006). *Convergence Culture: Where Old and New Media Collide*. NYU Press.</w:t>
      </w:r>
    </w:p>
    <w:p>
      <w:pPr>
        <w:pStyle w:val="Heading3"/>
      </w:pPr>
      <w:r>
        <w:rPr>
          <w:rFonts w:ascii="Arial" w:hAnsi="Arial"/>
          <w:sz w:val="22"/>
        </w:rPr>
        <w:t>Hilary Janks</w:t>
      </w:r>
    </w:p>
    <w:p>
      <w:r>
        <w:rPr>
          <w:rFonts w:ascii="Arial" w:hAnsi="Arial"/>
          <w:b/>
          <w:sz w:val="22"/>
        </w:rPr>
        <w:t xml:space="preserve">Aporte: </w:t>
      </w:r>
      <w:r>
        <w:rPr>
          <w:rFonts w:ascii="Arial" w:hAnsi="Arial"/>
          <w:sz w:val="22"/>
        </w:rPr>
        <w:t>Permite preguntar qué voces, conocimientos y perspectivas quedan incluidas o excluidas en respuestas de IA.</w:t>
      </w:r>
    </w:p>
    <w:p>
      <w:r>
        <w:rPr>
          <w:rFonts w:ascii="Arial" w:hAnsi="Arial"/>
          <w:b/>
          <w:sz w:val="22"/>
        </w:rPr>
        <w:t xml:space="preserve">Límite: </w:t>
      </w:r>
      <w:r>
        <w:rPr>
          <w:rFonts w:ascii="Arial" w:hAnsi="Arial"/>
          <w:sz w:val="22"/>
        </w:rPr>
        <w:t>No convertirlo en análisis de discurso completo si no está en la metodología.</w:t>
      </w:r>
    </w:p>
    <w:p>
      <w:r>
        <w:rPr>
          <w:rFonts w:ascii="Arial" w:hAnsi="Arial"/>
          <w:b/>
          <w:sz w:val="22"/>
        </w:rPr>
        <w:t xml:space="preserve">Referencia base: </w:t>
      </w:r>
      <w:r>
        <w:rPr>
          <w:rFonts w:ascii="Arial" w:hAnsi="Arial"/>
          <w:sz w:val="22"/>
        </w:rPr>
        <w:t>Janks, H. (2010). *Literacy and Power*. Routledge.</w:t>
      </w:r>
    </w:p>
    <w:p>
      <w:pPr>
        <w:pStyle w:val="Heading3"/>
      </w:pPr>
      <w:r>
        <w:rPr>
          <w:rFonts w:ascii="Arial" w:hAnsi="Arial"/>
          <w:sz w:val="22"/>
        </w:rPr>
        <w:t>Jesús Martín-Barbero</w:t>
      </w:r>
    </w:p>
    <w:p>
      <w:r>
        <w:rPr>
          <w:rFonts w:ascii="Arial" w:hAnsi="Arial"/>
          <w:b/>
          <w:sz w:val="22"/>
        </w:rPr>
        <w:t xml:space="preserve">Aporte: </w:t>
      </w:r>
      <w:r>
        <w:rPr>
          <w:rFonts w:ascii="Arial" w:hAnsi="Arial"/>
          <w:sz w:val="22"/>
        </w:rPr>
        <w:t>Estructura el marco teórico desde la idea de mediación comunicativa: la IA generativa no se analiza como herramienta aislada, sino como fenómeno situado en prácticas académicas, normas docentes, culturas de escritura y criterios de legitimidad.</w:t>
      </w:r>
    </w:p>
    <w:p>
      <w:r>
        <w:rPr>
          <w:rFonts w:ascii="Arial" w:hAnsi="Arial"/>
          <w:b/>
          <w:sz w:val="22"/>
        </w:rPr>
        <w:t xml:space="preserve">Límite: </w:t>
      </w:r>
      <w:r>
        <w:rPr>
          <w:rFonts w:ascii="Arial" w:hAnsi="Arial"/>
          <w:sz w:val="22"/>
        </w:rPr>
        <w:t>No reducirlo a una cita decorativa. Debe ordenar la arquitectura del marco.</w:t>
      </w:r>
    </w:p>
    <w:p>
      <w:r>
        <w:rPr>
          <w:rFonts w:ascii="Arial" w:hAnsi="Arial"/>
          <w:b/>
          <w:sz w:val="22"/>
        </w:rPr>
        <w:t xml:space="preserve">Referencia base: </w:t>
      </w:r>
      <w:r>
        <w:rPr>
          <w:rFonts w:ascii="Arial" w:hAnsi="Arial"/>
          <w:sz w:val="22"/>
        </w:rPr>
        <w:t>Martín-Barbero, J. (1987). *De los medios a las mediaciones: Comunicación, cultura y hegemonía*. Gustavo Gili.</w:t>
      </w:r>
    </w:p>
    <w:p>
      <w:pPr>
        <w:pStyle w:val="Heading3"/>
      </w:pPr>
      <w:r>
        <w:rPr>
          <w:rFonts w:ascii="Arial" w:hAnsi="Arial"/>
          <w:sz w:val="22"/>
        </w:rPr>
        <w:t>John Dewey</w:t>
      </w:r>
    </w:p>
    <w:p>
      <w:r>
        <w:rPr>
          <w:rFonts w:ascii="Arial" w:hAnsi="Arial"/>
          <w:b/>
          <w:sz w:val="22"/>
        </w:rPr>
        <w:t xml:space="preserve">Aporte: </w:t>
      </w:r>
      <w:r>
        <w:rPr>
          <w:rFonts w:ascii="Arial" w:hAnsi="Arial"/>
          <w:sz w:val="22"/>
        </w:rPr>
        <w:t>Permite diseñar flujos de trabajo como ciclos de indagación: incertidumbre, pregunta, exploración, evidencia, conclusión provisional y revisión.</w:t>
      </w:r>
    </w:p>
    <w:p>
      <w:r>
        <w:rPr>
          <w:rFonts w:ascii="Arial" w:hAnsi="Arial"/>
          <w:b/>
          <w:sz w:val="22"/>
        </w:rPr>
        <w:t xml:space="preserve">Límite: </w:t>
      </w:r>
      <w:r>
        <w:rPr>
          <w:rFonts w:ascii="Arial" w:hAnsi="Arial"/>
          <w:sz w:val="22"/>
        </w:rPr>
        <w:t>Conviene operarlo metodológicamente, no dejarlo solo como antecedente clásico.</w:t>
      </w:r>
    </w:p>
    <w:p>
      <w:r>
        <w:rPr>
          <w:rFonts w:ascii="Arial" w:hAnsi="Arial"/>
          <w:b/>
          <w:sz w:val="22"/>
        </w:rPr>
        <w:t xml:space="preserve">Referencia base: </w:t>
      </w:r>
      <w:r>
        <w:rPr>
          <w:rFonts w:ascii="Arial" w:hAnsi="Arial"/>
          <w:sz w:val="22"/>
        </w:rPr>
        <w:t>Dewey, J. (1933). *How we think*. D. C. Heath.</w:t>
      </w:r>
    </w:p>
    <w:p>
      <w:pPr>
        <w:pStyle w:val="Heading3"/>
      </w:pPr>
      <w:r>
        <w:rPr>
          <w:rFonts w:ascii="Arial" w:hAnsi="Arial"/>
          <w:sz w:val="22"/>
        </w:rPr>
        <w:t>Kate Crawford</w:t>
      </w:r>
    </w:p>
    <w:p>
      <w:r>
        <w:rPr>
          <w:rFonts w:ascii="Arial" w:hAnsi="Arial"/>
          <w:b/>
          <w:sz w:val="22"/>
        </w:rPr>
        <w:t xml:space="preserve">Aporte: </w:t>
      </w:r>
      <w:r>
        <w:rPr>
          <w:rFonts w:ascii="Arial" w:hAnsi="Arial"/>
          <w:sz w:val="22"/>
        </w:rPr>
        <w:t>Evita tratar la IA como nube neutral: muestra infraestructuras materiales, trabajo, extracción de datos y concentración de poder.</w:t>
      </w:r>
    </w:p>
    <w:p>
      <w:r>
        <w:rPr>
          <w:rFonts w:ascii="Arial" w:hAnsi="Arial"/>
          <w:b/>
          <w:sz w:val="22"/>
        </w:rPr>
        <w:t xml:space="preserve">Límite: </w:t>
      </w:r>
      <w:r>
        <w:rPr>
          <w:rFonts w:ascii="Arial" w:hAnsi="Arial"/>
          <w:sz w:val="22"/>
        </w:rPr>
        <w:t>Usarla para conciencia crítica, no desplazar el proyecto hacia economía política de IA.</w:t>
      </w:r>
    </w:p>
    <w:p>
      <w:r>
        <w:rPr>
          <w:rFonts w:ascii="Arial" w:hAnsi="Arial"/>
          <w:b/>
          <w:sz w:val="22"/>
        </w:rPr>
        <w:t xml:space="preserve">Referencia base: </w:t>
      </w:r>
      <w:r>
        <w:rPr>
          <w:rFonts w:ascii="Arial" w:hAnsi="Arial"/>
          <w:sz w:val="22"/>
        </w:rPr>
        <w:t>Crawford, K. (2021). *Atlas of AI: Power, Politics, and the Planetary Costs of Artificial Intelligence*. Yale University Press.</w:t>
      </w:r>
    </w:p>
    <w:p>
      <w:pPr>
        <w:pStyle w:val="Heading3"/>
      </w:pPr>
      <w:r>
        <w:rPr>
          <w:rFonts w:ascii="Arial" w:hAnsi="Arial"/>
          <w:sz w:val="22"/>
        </w:rPr>
        <w:t>Colin Lankshear y Michele Knobel</w:t>
      </w:r>
    </w:p>
    <w:p>
      <w:r>
        <w:rPr>
          <w:rFonts w:ascii="Arial" w:hAnsi="Arial"/>
          <w:b/>
          <w:sz w:val="22"/>
        </w:rPr>
        <w:t xml:space="preserve">Aporte: </w:t>
      </w:r>
      <w:r>
        <w:rPr>
          <w:rFonts w:ascii="Arial" w:hAnsi="Arial"/>
          <w:sz w:val="22"/>
        </w:rPr>
        <w:t>Ayudan a entender los flujos de IA como nuevas literacidades académicas: leer, escribir, verificar, editar y declarar usos en plataformas generativas.</w:t>
      </w:r>
    </w:p>
    <w:p>
      <w:r>
        <w:rPr>
          <w:rFonts w:ascii="Arial" w:hAnsi="Arial"/>
          <w:b/>
          <w:sz w:val="22"/>
        </w:rPr>
        <w:t xml:space="preserve">Límite: </w:t>
      </w:r>
      <w:r>
        <w:rPr>
          <w:rFonts w:ascii="Arial" w:hAnsi="Arial"/>
          <w:sz w:val="22"/>
        </w:rPr>
        <w:t>No perder la especificidad de escritura académica y trabajo de grado.</w:t>
      </w:r>
    </w:p>
    <w:p>
      <w:r>
        <w:rPr>
          <w:rFonts w:ascii="Arial" w:hAnsi="Arial"/>
          <w:b/>
          <w:sz w:val="22"/>
        </w:rPr>
        <w:t xml:space="preserve">Referencia base: </w:t>
      </w:r>
      <w:r>
        <w:rPr>
          <w:rFonts w:ascii="Arial" w:hAnsi="Arial"/>
          <w:sz w:val="22"/>
        </w:rPr>
        <w:t>Lankshear, C., &amp; Knobel, M. (2011). *New Literacies: Everyday Practices and Social Learning*. Open University Press.</w:t>
      </w:r>
    </w:p>
    <w:p>
      <w:pPr>
        <w:pStyle w:val="Heading3"/>
      </w:pPr>
      <w:r>
        <w:rPr>
          <w:rFonts w:ascii="Arial" w:hAnsi="Arial"/>
          <w:sz w:val="22"/>
        </w:rPr>
        <w:t>Luciano Floridi</w:t>
      </w:r>
    </w:p>
    <w:p>
      <w:r>
        <w:rPr>
          <w:rFonts w:ascii="Arial" w:hAnsi="Arial"/>
          <w:b/>
          <w:sz w:val="22"/>
        </w:rPr>
        <w:t xml:space="preserve">Aporte: </w:t>
      </w:r>
      <w:r>
        <w:rPr>
          <w:rFonts w:ascii="Arial" w:hAnsi="Arial"/>
          <w:sz w:val="22"/>
        </w:rPr>
        <w:t>Da lenguaje ético para sostener transparencia, responsabilidad, autonomía y uso beneficioso/no dañino de IA en investigación académica.</w:t>
      </w:r>
    </w:p>
    <w:p>
      <w:r>
        <w:rPr>
          <w:rFonts w:ascii="Arial" w:hAnsi="Arial"/>
          <w:b/>
          <w:sz w:val="22"/>
        </w:rPr>
        <w:t xml:space="preserve">Límite: </w:t>
      </w:r>
      <w:r>
        <w:rPr>
          <w:rFonts w:ascii="Arial" w:hAnsi="Arial"/>
          <w:sz w:val="22"/>
        </w:rPr>
        <w:t>Usarlo para criterios del kit, no para abrir una discusión filosófica demasiado amplia.</w:t>
      </w:r>
    </w:p>
    <w:p>
      <w:r>
        <w:rPr>
          <w:rFonts w:ascii="Arial" w:hAnsi="Arial"/>
          <w:b/>
          <w:sz w:val="22"/>
        </w:rPr>
        <w:t xml:space="preserve">Referencia base: </w:t>
      </w:r>
      <w:r>
        <w:rPr>
          <w:rFonts w:ascii="Arial" w:hAnsi="Arial"/>
          <w:sz w:val="22"/>
        </w:rPr>
        <w:t>Floridi, L., et al. (2018). AI4People—An ethical framework for a good AI society. *Minds and Machines, 28*, 689–707.</w:t>
      </w:r>
    </w:p>
    <w:p>
      <w:pPr>
        <w:pStyle w:val="Heading3"/>
      </w:pPr>
      <w:r>
        <w:rPr>
          <w:rFonts w:ascii="Arial" w:hAnsi="Arial"/>
          <w:sz w:val="22"/>
        </w:rPr>
        <w:t>Marshall McLuhan</w:t>
      </w:r>
    </w:p>
    <w:p>
      <w:r>
        <w:rPr>
          <w:rFonts w:ascii="Arial" w:hAnsi="Arial"/>
          <w:b/>
          <w:sz w:val="22"/>
        </w:rPr>
        <w:t xml:space="preserve">Aporte: </w:t>
      </w:r>
      <w:r>
        <w:rPr>
          <w:rFonts w:ascii="Arial" w:hAnsi="Arial"/>
          <w:sz w:val="22"/>
        </w:rPr>
        <w:t>Permite afirmar que la IA importa no solo por los textos que produce, sino porque transforma la escala, velocidad y forma de investigar, escribir, revisar y decidir.</w:t>
      </w:r>
    </w:p>
    <w:p>
      <w:r>
        <w:rPr>
          <w:rFonts w:ascii="Arial" w:hAnsi="Arial"/>
          <w:b/>
          <w:sz w:val="22"/>
        </w:rPr>
        <w:t xml:space="preserve">Límite: </w:t>
      </w:r>
      <w:r>
        <w:rPr>
          <w:rFonts w:ascii="Arial" w:hAnsi="Arial"/>
          <w:sz w:val="22"/>
        </w:rPr>
        <w:t>Usarlo como apoyo, no como eje principal; su mirada puede ser determinista si no se equilibra con Barbero.</w:t>
      </w:r>
    </w:p>
    <w:p>
      <w:r>
        <w:rPr>
          <w:rFonts w:ascii="Arial" w:hAnsi="Arial"/>
          <w:b/>
          <w:sz w:val="22"/>
        </w:rPr>
        <w:t xml:space="preserve">Referencia base: </w:t>
      </w:r>
      <w:r>
        <w:rPr>
          <w:rFonts w:ascii="Arial" w:hAnsi="Arial"/>
          <w:sz w:val="22"/>
        </w:rPr>
        <w:t>McLuhan, M. (1964). *Understanding Media: The Extensions of Man*. McGraw-Hill.</w:t>
      </w:r>
    </w:p>
    <w:p>
      <w:pPr>
        <w:pStyle w:val="Heading3"/>
      </w:pPr>
      <w:r>
        <w:rPr>
          <w:rFonts w:ascii="Arial" w:hAnsi="Arial"/>
          <w:sz w:val="22"/>
        </w:rPr>
        <w:t>Marvin Minsky</w:t>
      </w:r>
    </w:p>
    <w:p>
      <w:r>
        <w:rPr>
          <w:rFonts w:ascii="Arial" w:hAnsi="Arial"/>
          <w:b/>
          <w:sz w:val="22"/>
        </w:rPr>
        <w:t xml:space="preserve">Aporte: </w:t>
      </w:r>
      <w:r>
        <w:rPr>
          <w:rFonts w:ascii="Arial" w:hAnsi="Arial"/>
          <w:sz w:val="22"/>
        </w:rPr>
        <w:t>Sirve como antecedente histórico para comprender imaginarios de la IA y límites de analogar mente humana con sistemas artificiales.</w:t>
      </w:r>
    </w:p>
    <w:p>
      <w:r>
        <w:rPr>
          <w:rFonts w:ascii="Arial" w:hAnsi="Arial"/>
          <w:b/>
          <w:sz w:val="22"/>
        </w:rPr>
        <w:t xml:space="preserve">Límite: </w:t>
      </w:r>
      <w:r>
        <w:rPr>
          <w:rFonts w:ascii="Arial" w:hAnsi="Arial"/>
          <w:sz w:val="22"/>
        </w:rPr>
        <w:t>No hacerlo central; puede desviar la tesis hacia historia técnica de IA.</w:t>
      </w:r>
    </w:p>
    <w:p>
      <w:r>
        <w:rPr>
          <w:rFonts w:ascii="Arial" w:hAnsi="Arial"/>
          <w:b/>
          <w:sz w:val="22"/>
        </w:rPr>
        <w:t xml:space="preserve">Referencia base: </w:t>
      </w:r>
      <w:r>
        <w:rPr>
          <w:rFonts w:ascii="Arial" w:hAnsi="Arial"/>
          <w:sz w:val="22"/>
        </w:rPr>
        <w:t>Minsky, M. (1986). *The Society of Mind*. Simon &amp; Schuster.</w:t>
      </w:r>
    </w:p>
    <w:p>
      <w:pPr>
        <w:pStyle w:val="Heading3"/>
      </w:pPr>
      <w:r>
        <w:rPr>
          <w:rFonts w:ascii="Arial" w:hAnsi="Arial"/>
          <w:sz w:val="22"/>
        </w:rPr>
        <w:t>Matthew Lipman</w:t>
      </w:r>
    </w:p>
    <w:p>
      <w:r>
        <w:rPr>
          <w:rFonts w:ascii="Arial" w:hAnsi="Arial"/>
          <w:b/>
          <w:sz w:val="22"/>
        </w:rPr>
        <w:t xml:space="preserve">Aporte: </w:t>
      </w:r>
      <w:r>
        <w:rPr>
          <w:rFonts w:ascii="Arial" w:hAnsi="Arial"/>
          <w:sz w:val="22"/>
        </w:rPr>
        <w:t>Refuerza que el pensamiento crítico con IA no se fortalece en soledad frente a la máquina, sino en discusión con pares y docentes.</w:t>
      </w:r>
    </w:p>
    <w:p>
      <w:r>
        <w:rPr>
          <w:rFonts w:ascii="Arial" w:hAnsi="Arial"/>
          <w:b/>
          <w:sz w:val="22"/>
        </w:rPr>
        <w:t xml:space="preserve">Límite: </w:t>
      </w:r>
      <w:r>
        <w:rPr>
          <w:rFonts w:ascii="Arial" w:hAnsi="Arial"/>
          <w:sz w:val="22"/>
        </w:rPr>
        <w:t>Usarlo si el piloto incluye talleres, grupos o conversación colectiva.</w:t>
      </w:r>
    </w:p>
    <w:p>
      <w:r>
        <w:rPr>
          <w:rFonts w:ascii="Arial" w:hAnsi="Arial"/>
          <w:b/>
          <w:sz w:val="22"/>
        </w:rPr>
        <w:t xml:space="preserve">Referencia base: </w:t>
      </w:r>
      <w:r>
        <w:rPr>
          <w:rFonts w:ascii="Arial" w:hAnsi="Arial"/>
          <w:sz w:val="22"/>
        </w:rPr>
        <w:t>Lipman, M. (2003). *Thinking in Education* (2nd ed.). Cambridge University Press.</w:t>
      </w:r>
    </w:p>
    <w:p>
      <w:pPr>
        <w:pStyle w:val="Heading3"/>
      </w:pPr>
      <w:r>
        <w:rPr>
          <w:rFonts w:ascii="Arial" w:hAnsi="Arial"/>
          <w:sz w:val="22"/>
        </w:rPr>
        <w:t>Michel Foucault</w:t>
      </w:r>
    </w:p>
    <w:p>
      <w:r>
        <w:rPr>
          <w:rFonts w:ascii="Arial" w:hAnsi="Arial"/>
          <w:b/>
          <w:sz w:val="22"/>
        </w:rPr>
        <w:t xml:space="preserve">Aporte: </w:t>
      </w:r>
      <w:r>
        <w:rPr>
          <w:rFonts w:ascii="Arial" w:hAnsi="Arial"/>
          <w:sz w:val="22"/>
        </w:rPr>
        <w:t>Ayuda a reformular la pregunta desde lo que significa pensar: no solo si la IA incide, sino cómo se problematiza la producción de conocimiento con IA.</w:t>
      </w:r>
    </w:p>
    <w:p>
      <w:r>
        <w:rPr>
          <w:rFonts w:ascii="Arial" w:hAnsi="Arial"/>
          <w:b/>
          <w:sz w:val="22"/>
        </w:rPr>
        <w:t xml:space="preserve">Límite: </w:t>
      </w:r>
      <w:r>
        <w:rPr>
          <w:rFonts w:ascii="Arial" w:hAnsi="Arial"/>
          <w:sz w:val="22"/>
        </w:rPr>
        <w:t>Usarlo como lente, no como centro absoluto.</w:t>
      </w:r>
    </w:p>
    <w:p>
      <w:r>
        <w:rPr>
          <w:rFonts w:ascii="Arial" w:hAnsi="Arial"/>
          <w:b/>
          <w:sz w:val="22"/>
        </w:rPr>
        <w:t xml:space="preserve">Referencia base: </w:t>
      </w:r>
      <w:r>
        <w:rPr>
          <w:rFonts w:ascii="Arial" w:hAnsi="Arial"/>
          <w:sz w:val="22"/>
        </w:rPr>
        <w:t>Díaz Marsá, M. (2008). ¿Qué quiere decir pensar? Acerca de la noción de problematización en Michel Foucault. *Daímon*, 43, 51–70.</w:t>
      </w:r>
    </w:p>
    <w:p>
      <w:pPr>
        <w:pStyle w:val="Heading3"/>
      </w:pPr>
      <w:r>
        <w:rPr>
          <w:rFonts w:ascii="Arial" w:hAnsi="Arial"/>
          <w:sz w:val="22"/>
        </w:rPr>
        <w:t>Neil Selwyn</w:t>
      </w:r>
    </w:p>
    <w:p>
      <w:r>
        <w:rPr>
          <w:rFonts w:ascii="Arial" w:hAnsi="Arial"/>
          <w:b/>
          <w:sz w:val="22"/>
        </w:rPr>
        <w:t xml:space="preserve">Aporte: </w:t>
      </w:r>
      <w:r>
        <w:rPr>
          <w:rFonts w:ascii="Arial" w:hAnsi="Arial"/>
          <w:sz w:val="22"/>
        </w:rPr>
        <w:t>Aporta mirada crítica para no asumir que IA mejora educación automáticamente; obliga a observar efectos reales sobre prácticas, autonomía y desigualdad.</w:t>
      </w:r>
    </w:p>
    <w:p>
      <w:r>
        <w:rPr>
          <w:rFonts w:ascii="Arial" w:hAnsi="Arial"/>
          <w:b/>
          <w:sz w:val="22"/>
        </w:rPr>
        <w:t xml:space="preserve">Límite: </w:t>
      </w:r>
      <w:r>
        <w:rPr>
          <w:rFonts w:ascii="Arial" w:hAnsi="Arial"/>
          <w:sz w:val="22"/>
        </w:rPr>
        <w:t>Equilibrarlo con autores que también reconozcan oportunidades pedagógicas.</w:t>
      </w:r>
    </w:p>
    <w:p>
      <w:r>
        <w:rPr>
          <w:rFonts w:ascii="Arial" w:hAnsi="Arial"/>
          <w:b/>
          <w:sz w:val="22"/>
        </w:rPr>
        <w:t xml:space="preserve">Referencia base: </w:t>
      </w:r>
      <w:r>
        <w:rPr>
          <w:rFonts w:ascii="Arial" w:hAnsi="Arial"/>
          <w:sz w:val="22"/>
        </w:rPr>
        <w:t>Selwyn, N. (2019). *Should Robots Replace Teachers? AI and the Future of Education*. Polity.</w:t>
      </w:r>
    </w:p>
    <w:p>
      <w:pPr>
        <w:pStyle w:val="Heading3"/>
      </w:pPr>
      <w:r>
        <w:rPr>
          <w:rFonts w:ascii="Arial" w:hAnsi="Arial"/>
          <w:sz w:val="22"/>
        </w:rPr>
        <w:t>Néstor García Canclini</w:t>
      </w:r>
    </w:p>
    <w:p>
      <w:r>
        <w:rPr>
          <w:rFonts w:ascii="Arial" w:hAnsi="Arial"/>
          <w:b/>
          <w:sz w:val="22"/>
        </w:rPr>
        <w:t xml:space="preserve">Aporte: </w:t>
      </w:r>
      <w:r>
        <w:rPr>
          <w:rFonts w:ascii="Arial" w:hAnsi="Arial"/>
          <w:sz w:val="22"/>
        </w:rPr>
        <w:t>Sitúa el uso de IA en un contexto latinoamericano e híbrido: cultura académica UdeA, plataformas globales, tiempo limitado, desigualdades de acceso y prácticas digitales cotidianas.</w:t>
      </w:r>
    </w:p>
    <w:p>
      <w:r>
        <w:rPr>
          <w:rFonts w:ascii="Arial" w:hAnsi="Arial"/>
          <w:b/>
          <w:sz w:val="22"/>
        </w:rPr>
        <w:t xml:space="preserve">Límite: </w:t>
      </w:r>
      <w:r>
        <w:rPr>
          <w:rFonts w:ascii="Arial" w:hAnsi="Arial"/>
          <w:sz w:val="22"/>
        </w:rPr>
        <w:t>No convertir el marco en sociología cultural general; usarlo para contexto y apropiación.</w:t>
      </w:r>
    </w:p>
    <w:p>
      <w:r>
        <w:rPr>
          <w:rFonts w:ascii="Arial" w:hAnsi="Arial"/>
          <w:b/>
          <w:sz w:val="22"/>
        </w:rPr>
        <w:t xml:space="preserve">Referencia base: </w:t>
      </w:r>
      <w:r>
        <w:rPr>
          <w:rFonts w:ascii="Arial" w:hAnsi="Arial"/>
          <w:sz w:val="22"/>
        </w:rPr>
        <w:t>García Canclini, N. (1990). *Culturas híbridas: Estrategias para entrar y salir de la modernidad*. Grijalbo.</w:t>
      </w:r>
    </w:p>
    <w:p>
      <w:pPr>
        <w:pStyle w:val="Heading3"/>
      </w:pPr>
      <w:r>
        <w:rPr>
          <w:rFonts w:ascii="Arial" w:hAnsi="Arial"/>
          <w:sz w:val="22"/>
        </w:rPr>
        <w:t>Norbert Wiener</w:t>
      </w:r>
    </w:p>
    <w:p>
      <w:r>
        <w:rPr>
          <w:rFonts w:ascii="Arial" w:hAnsi="Arial"/>
          <w:b/>
          <w:sz w:val="22"/>
        </w:rPr>
        <w:t xml:space="preserve">Aporte: </w:t>
      </w:r>
      <w:r>
        <w:rPr>
          <w:rFonts w:ascii="Arial" w:hAnsi="Arial"/>
          <w:sz w:val="22"/>
        </w:rPr>
        <w:t>Permite diseñar flujos de IA como circuitos de retroalimentación: generar, revisar, verificar, corregir y decidir humanamente.</w:t>
      </w:r>
    </w:p>
    <w:p>
      <w:r>
        <w:rPr>
          <w:rFonts w:ascii="Arial" w:hAnsi="Arial"/>
          <w:b/>
          <w:sz w:val="22"/>
        </w:rPr>
        <w:t xml:space="preserve">Límite: </w:t>
      </w:r>
      <w:r>
        <w:rPr>
          <w:rFonts w:ascii="Arial" w:hAnsi="Arial"/>
          <w:sz w:val="22"/>
        </w:rPr>
        <w:t>No quedarse en historia de la cibernética; llevarlo al diseño del kit.</w:t>
      </w:r>
    </w:p>
    <w:p>
      <w:r>
        <w:rPr>
          <w:rFonts w:ascii="Arial" w:hAnsi="Arial"/>
          <w:b/>
          <w:sz w:val="22"/>
        </w:rPr>
        <w:t xml:space="preserve">Referencia base: </w:t>
      </w:r>
      <w:r>
        <w:rPr>
          <w:rFonts w:ascii="Arial" w:hAnsi="Arial"/>
          <w:sz w:val="22"/>
        </w:rPr>
        <w:t>Wiener, N. (1948). *Cybernetics: Or Control and Communication in the Animal and the Machine*. MIT Press.</w:t>
      </w:r>
    </w:p>
    <w:p>
      <w:pPr>
        <w:pStyle w:val="Heading3"/>
      </w:pPr>
      <w:r>
        <w:rPr>
          <w:rFonts w:ascii="Arial" w:hAnsi="Arial"/>
          <w:sz w:val="22"/>
        </w:rPr>
        <w:t>Richard Paul y Linda Elder</w:t>
      </w:r>
    </w:p>
    <w:p>
      <w:r>
        <w:rPr>
          <w:rFonts w:ascii="Arial" w:hAnsi="Arial"/>
          <w:b/>
          <w:sz w:val="22"/>
        </w:rPr>
        <w:t xml:space="preserve">Aporte: </w:t>
      </w:r>
      <w:r>
        <w:rPr>
          <w:rFonts w:ascii="Arial" w:hAnsi="Arial"/>
          <w:sz w:val="22"/>
        </w:rPr>
        <w:t>Sirven para construir una rúbrica de revisión crítica de respuestas de IA y de borradores académicos.</w:t>
      </w:r>
    </w:p>
    <w:p>
      <w:r>
        <w:rPr>
          <w:rFonts w:ascii="Arial" w:hAnsi="Arial"/>
          <w:b/>
          <w:sz w:val="22"/>
        </w:rPr>
        <w:t xml:space="preserve">Límite: </w:t>
      </w:r>
      <w:r>
        <w:rPr>
          <w:rFonts w:ascii="Arial" w:hAnsi="Arial"/>
          <w:sz w:val="22"/>
        </w:rPr>
        <w:t>Evitar una rúbrica demasiado larga; elegir estándares directamente observables.</w:t>
      </w:r>
    </w:p>
    <w:p>
      <w:r>
        <w:rPr>
          <w:rFonts w:ascii="Arial" w:hAnsi="Arial"/>
          <w:b/>
          <w:sz w:val="22"/>
        </w:rPr>
        <w:t xml:space="preserve">Referencia base: </w:t>
      </w:r>
      <w:r>
        <w:rPr>
          <w:rFonts w:ascii="Arial" w:hAnsi="Arial"/>
          <w:sz w:val="22"/>
        </w:rPr>
        <w:t>Paul, R., &amp; Elder, L. (2014). *The miniature guide to critical thinking concepts and tools*. Foundation for Critical Thinking.</w:t>
      </w:r>
    </w:p>
    <w:p>
      <w:pPr>
        <w:pStyle w:val="Heading3"/>
      </w:pPr>
      <w:r>
        <w:rPr>
          <w:rFonts w:ascii="Arial" w:hAnsi="Arial"/>
          <w:sz w:val="22"/>
        </w:rPr>
        <w:t>Paulo Freire</w:t>
      </w:r>
    </w:p>
    <w:p>
      <w:r>
        <w:rPr>
          <w:rFonts w:ascii="Arial" w:hAnsi="Arial"/>
          <w:b/>
          <w:sz w:val="22"/>
        </w:rPr>
        <w:t xml:space="preserve">Aporte: </w:t>
      </w:r>
      <w:r>
        <w:rPr>
          <w:rFonts w:ascii="Arial" w:hAnsi="Arial"/>
          <w:sz w:val="22"/>
        </w:rPr>
        <w:t>Clave para sostener que la IA no debe operar como depósito automático de respuestas, sino como objeto de diálogo, pregunta, contraste y problematización.</w:t>
      </w:r>
    </w:p>
    <w:p>
      <w:r>
        <w:rPr>
          <w:rFonts w:ascii="Arial" w:hAnsi="Arial"/>
          <w:b/>
          <w:sz w:val="22"/>
        </w:rPr>
        <w:t xml:space="preserve">Límite: </w:t>
      </w:r>
      <w:r>
        <w:rPr>
          <w:rFonts w:ascii="Arial" w:hAnsi="Arial"/>
          <w:sz w:val="22"/>
        </w:rPr>
        <w:t>No usarlo solo como referencia moral; vincularlo con actividades concretas de indagación y agencia estudiantil.</w:t>
      </w:r>
    </w:p>
    <w:p>
      <w:r>
        <w:rPr>
          <w:rFonts w:ascii="Arial" w:hAnsi="Arial"/>
          <w:b/>
          <w:sz w:val="22"/>
        </w:rPr>
        <w:t xml:space="preserve">Referencia base: </w:t>
      </w:r>
      <w:r>
        <w:rPr>
          <w:rFonts w:ascii="Arial" w:hAnsi="Arial"/>
          <w:sz w:val="22"/>
        </w:rPr>
        <w:t>Freire, P. (1970). *Pedagogía del oprimido*. Siglo XXI.</w:t>
      </w:r>
    </w:p>
    <w:p>
      <w:pPr>
        <w:pStyle w:val="Heading3"/>
      </w:pPr>
      <w:r>
        <w:rPr>
          <w:rFonts w:ascii="Arial" w:hAnsi="Arial"/>
          <w:sz w:val="22"/>
        </w:rPr>
        <w:t>Peter A. Facione</w:t>
      </w:r>
    </w:p>
    <w:p>
      <w:r>
        <w:rPr>
          <w:rFonts w:ascii="Arial" w:hAnsi="Arial"/>
          <w:b/>
          <w:sz w:val="22"/>
        </w:rPr>
        <w:t xml:space="preserve">Aporte: </w:t>
      </w:r>
      <w:r>
        <w:rPr>
          <w:rFonts w:ascii="Arial" w:hAnsi="Arial"/>
          <w:sz w:val="22"/>
        </w:rPr>
        <w:t>Aporta categorías observables para analizar si los estudiantes interpretan, evalúan, infieren, explican y autorregulan el uso de IA.</w:t>
      </w:r>
    </w:p>
    <w:p>
      <w:r>
        <w:rPr>
          <w:rFonts w:ascii="Arial" w:hAnsi="Arial"/>
          <w:b/>
          <w:sz w:val="22"/>
        </w:rPr>
        <w:t xml:space="preserve">Límite: </w:t>
      </w:r>
      <w:r>
        <w:rPr>
          <w:rFonts w:ascii="Arial" w:hAnsi="Arial"/>
          <w:sz w:val="22"/>
        </w:rPr>
        <w:t>No convertir el pensamiento crítico en checklist mecánico; combinarlo con mediación y pedagogía crítica.</w:t>
      </w:r>
    </w:p>
    <w:p>
      <w:r>
        <w:rPr>
          <w:rFonts w:ascii="Arial" w:hAnsi="Arial"/>
          <w:b/>
          <w:sz w:val="22"/>
        </w:rPr>
        <w:t xml:space="preserve">Referencia base: </w:t>
      </w:r>
      <w:r>
        <w:rPr>
          <w:rFonts w:ascii="Arial" w:hAnsi="Arial"/>
          <w:sz w:val="22"/>
        </w:rPr>
        <w:t>Facione, P. A. (1990). *Critical Thinking: A Statement of Expert Consensus for Purposes of Educational Assessment and Instruction*. American Philosophical Association.</w:t>
      </w:r>
    </w:p>
    <w:p>
      <w:pPr>
        <w:pStyle w:val="Heading3"/>
      </w:pPr>
      <w:r>
        <w:rPr>
          <w:rFonts w:ascii="Arial" w:hAnsi="Arial"/>
          <w:sz w:val="22"/>
        </w:rPr>
        <w:t>Renee Hobbs</w:t>
      </w:r>
    </w:p>
    <w:p>
      <w:r>
        <w:rPr>
          <w:rFonts w:ascii="Arial" w:hAnsi="Arial"/>
          <w:b/>
          <w:sz w:val="22"/>
        </w:rPr>
        <w:t xml:space="preserve">Aporte: </w:t>
      </w:r>
      <w:r>
        <w:rPr>
          <w:rFonts w:ascii="Arial" w:hAnsi="Arial"/>
          <w:sz w:val="22"/>
        </w:rPr>
        <w:t>Sus cinco competencias pueden traducirse directamente en flujos con IA: buscar, evaluar, producir, declarar límites y comunicar responsablemente.</w:t>
      </w:r>
    </w:p>
    <w:p>
      <w:r>
        <w:rPr>
          <w:rFonts w:ascii="Arial" w:hAnsi="Arial"/>
          <w:b/>
          <w:sz w:val="22"/>
        </w:rPr>
        <w:t xml:space="preserve">Límite: </w:t>
      </w:r>
      <w:r>
        <w:rPr>
          <w:rFonts w:ascii="Arial" w:hAnsi="Arial"/>
          <w:sz w:val="22"/>
        </w:rPr>
        <w:t>Muy útil para el kit; no dejarla solo en marco teórico.</w:t>
      </w:r>
    </w:p>
    <w:p>
      <w:r>
        <w:rPr>
          <w:rFonts w:ascii="Arial" w:hAnsi="Arial"/>
          <w:b/>
          <w:sz w:val="22"/>
        </w:rPr>
        <w:t xml:space="preserve">Referencia base: </w:t>
      </w:r>
      <w:r>
        <w:rPr>
          <w:rFonts w:ascii="Arial" w:hAnsi="Arial"/>
          <w:sz w:val="22"/>
        </w:rPr>
        <w:t>Hobbs, R. (2010). *Digital and Media Literacy: A Plan of Action*. Aspen Institute.</w:t>
      </w:r>
    </w:p>
    <w:p>
      <w:pPr>
        <w:pStyle w:val="Heading3"/>
      </w:pPr>
      <w:r>
        <w:rPr>
          <w:rFonts w:ascii="Arial" w:hAnsi="Arial"/>
          <w:sz w:val="22"/>
        </w:rPr>
        <w:t>Robert H. Ennis</w:t>
      </w:r>
    </w:p>
    <w:p>
      <w:r>
        <w:rPr>
          <w:rFonts w:ascii="Arial" w:hAnsi="Arial"/>
          <w:b/>
          <w:sz w:val="22"/>
        </w:rPr>
        <w:t xml:space="preserve">Aporte: </w:t>
      </w:r>
      <w:r>
        <w:rPr>
          <w:rFonts w:ascii="Arial" w:hAnsi="Arial"/>
          <w:sz w:val="22"/>
        </w:rPr>
        <w:t>Permite observar disposiciones: duda, verificación, apertura a corregir y voluntad de justificar decisiones frente a respuestas de IA.</w:t>
      </w:r>
    </w:p>
    <w:p>
      <w:r>
        <w:rPr>
          <w:rFonts w:ascii="Arial" w:hAnsi="Arial"/>
          <w:b/>
          <w:sz w:val="22"/>
        </w:rPr>
        <w:t xml:space="preserve">Límite: </w:t>
      </w:r>
      <w:r>
        <w:rPr>
          <w:rFonts w:ascii="Arial" w:hAnsi="Arial"/>
          <w:sz w:val="22"/>
        </w:rPr>
        <w:t>No separar habilidades de disposiciones; ambas importan en el trabajo empírico.</w:t>
      </w:r>
    </w:p>
    <w:p>
      <w:r>
        <w:rPr>
          <w:rFonts w:ascii="Arial" w:hAnsi="Arial"/>
          <w:b/>
          <w:sz w:val="22"/>
        </w:rPr>
        <w:t xml:space="preserve">Referencia base: </w:t>
      </w:r>
      <w:r>
        <w:rPr>
          <w:rFonts w:ascii="Arial" w:hAnsi="Arial"/>
          <w:sz w:val="22"/>
        </w:rPr>
        <w:t>Ennis, R. H. (1996). Critical thinking dispositions: Their nature and assessability. *Informal Logic, 18*(2-3), 165–182.</w:t>
      </w:r>
    </w:p>
    <w:p>
      <w:pPr>
        <w:pStyle w:val="Heading3"/>
      </w:pPr>
      <w:r>
        <w:rPr>
          <w:rFonts w:ascii="Arial" w:hAnsi="Arial"/>
          <w:sz w:val="22"/>
        </w:rPr>
        <w:t>Roger Silverstone</w:t>
      </w:r>
    </w:p>
    <w:p>
      <w:r>
        <w:rPr>
          <w:rFonts w:ascii="Arial" w:hAnsi="Arial"/>
          <w:b/>
          <w:sz w:val="22"/>
        </w:rPr>
        <w:t xml:space="preserve">Aporte: </w:t>
      </w:r>
      <w:r>
        <w:rPr>
          <w:rFonts w:ascii="Arial" w:hAnsi="Arial"/>
          <w:sz w:val="22"/>
        </w:rPr>
        <w:t>Refuerza la dimensión ética de toda práctica mediada: autoría, responsabilidad, reconocimiento y transparencia cuando la escritura académica pasa por IA.</w:t>
      </w:r>
    </w:p>
    <w:p>
      <w:r>
        <w:rPr>
          <w:rFonts w:ascii="Arial" w:hAnsi="Arial"/>
          <w:b/>
          <w:sz w:val="22"/>
        </w:rPr>
        <w:t xml:space="preserve">Límite: </w:t>
      </w:r>
      <w:r>
        <w:rPr>
          <w:rFonts w:ascii="Arial" w:hAnsi="Arial"/>
          <w:sz w:val="22"/>
        </w:rPr>
        <w:t>Puede ampliar demasiado la discusión ética; conviene conectarlo con autoría y declaración de uso.</w:t>
      </w:r>
    </w:p>
    <w:p>
      <w:r>
        <w:rPr>
          <w:rFonts w:ascii="Arial" w:hAnsi="Arial"/>
          <w:b/>
          <w:sz w:val="22"/>
        </w:rPr>
        <w:t xml:space="preserve">Referencia base: </w:t>
      </w:r>
      <w:r>
        <w:rPr>
          <w:rFonts w:ascii="Arial" w:hAnsi="Arial"/>
          <w:sz w:val="22"/>
        </w:rPr>
        <w:t>Silverstone, R. (1999). *Why Study the Media?* SAGE.</w:t>
      </w:r>
    </w:p>
    <w:p>
      <w:pPr>
        <w:pStyle w:val="Heading3"/>
      </w:pPr>
      <w:r>
        <w:rPr>
          <w:rFonts w:ascii="Arial" w:hAnsi="Arial"/>
          <w:sz w:val="22"/>
        </w:rPr>
        <w:t>Safiya Umoja Noble</w:t>
      </w:r>
    </w:p>
    <w:p>
      <w:r>
        <w:rPr>
          <w:rFonts w:ascii="Arial" w:hAnsi="Arial"/>
          <w:b/>
          <w:sz w:val="22"/>
        </w:rPr>
        <w:t xml:space="preserve">Aporte: </w:t>
      </w:r>
      <w:r>
        <w:rPr>
          <w:rFonts w:ascii="Arial" w:hAnsi="Arial"/>
          <w:sz w:val="22"/>
        </w:rPr>
        <w:t>Aporta base para analizar sesgos, exclusiones y jerarquías de conocimiento en respuestas generadas por IA.</w:t>
      </w:r>
    </w:p>
    <w:p>
      <w:r>
        <w:rPr>
          <w:rFonts w:ascii="Arial" w:hAnsi="Arial"/>
          <w:b/>
          <w:sz w:val="22"/>
        </w:rPr>
        <w:t xml:space="preserve">Límite: </w:t>
      </w:r>
      <w:r>
        <w:rPr>
          <w:rFonts w:ascii="Arial" w:hAnsi="Arial"/>
          <w:sz w:val="22"/>
        </w:rPr>
        <w:t>Como su obra estudia buscadores, conectar con IA generativa con cuidado argumentativo.</w:t>
      </w:r>
    </w:p>
    <w:p>
      <w:r>
        <w:rPr>
          <w:rFonts w:ascii="Arial" w:hAnsi="Arial"/>
          <w:b/>
          <w:sz w:val="22"/>
        </w:rPr>
        <w:t xml:space="preserve">Referencia base: </w:t>
      </w:r>
      <w:r>
        <w:rPr>
          <w:rFonts w:ascii="Arial" w:hAnsi="Arial"/>
          <w:sz w:val="22"/>
        </w:rPr>
        <w:t>Noble, S. U. (2018). *Algorithms of Oppression: How Search Engines Reinforce Racism*. NYU Press.</w:t>
      </w:r>
    </w:p>
    <w:p>
      <w:pPr>
        <w:pStyle w:val="Heading3"/>
      </w:pPr>
      <w:r>
        <w:rPr>
          <w:rFonts w:ascii="Arial" w:hAnsi="Arial"/>
          <w:sz w:val="22"/>
        </w:rPr>
        <w:t>Sherry Turkle</w:t>
      </w:r>
    </w:p>
    <w:p>
      <w:r>
        <w:rPr>
          <w:rFonts w:ascii="Arial" w:hAnsi="Arial"/>
          <w:b/>
          <w:sz w:val="22"/>
        </w:rPr>
        <w:t xml:space="preserve">Aporte: </w:t>
      </w:r>
      <w:r>
        <w:rPr>
          <w:rFonts w:ascii="Arial" w:hAnsi="Arial"/>
          <w:sz w:val="22"/>
        </w:rPr>
        <w:t>Clave para analizar cómo los estudiantes dialogan con sistemas que parecen comprender, aconsejar y validar, y cómo eso puede afectar confianza, autoría y criterio propio.</w:t>
      </w:r>
    </w:p>
    <w:p>
      <w:r>
        <w:rPr>
          <w:rFonts w:ascii="Arial" w:hAnsi="Arial"/>
          <w:b/>
          <w:sz w:val="22"/>
        </w:rPr>
        <w:t xml:space="preserve">Límite: </w:t>
      </w:r>
      <w:r>
        <w:rPr>
          <w:rFonts w:ascii="Arial" w:hAnsi="Arial"/>
          <w:sz w:val="22"/>
        </w:rPr>
        <w:t>No centrar la tesis en psicología de la tecnología; usarla para conversación humano-IA y dependencia.</w:t>
      </w:r>
    </w:p>
    <w:p>
      <w:r>
        <w:rPr>
          <w:rFonts w:ascii="Arial" w:hAnsi="Arial"/>
          <w:b/>
          <w:sz w:val="22"/>
        </w:rPr>
        <w:t xml:space="preserve">Referencia base: </w:t>
      </w:r>
      <w:r>
        <w:rPr>
          <w:rFonts w:ascii="Arial" w:hAnsi="Arial"/>
          <w:sz w:val="22"/>
        </w:rPr>
        <w:t>Turkle, S. (2011). *Alone Together: Why We Expect More from Technology and Less from Each Other*. Basic Books.</w:t>
      </w:r>
    </w:p>
    <w:p>
      <w:pPr>
        <w:pStyle w:val="Heading3"/>
      </w:pPr>
      <w:r>
        <w:rPr>
          <w:rFonts w:ascii="Arial" w:hAnsi="Arial"/>
          <w:sz w:val="22"/>
        </w:rPr>
        <w:t>Shoshana Zuboff</w:t>
      </w:r>
    </w:p>
    <w:p>
      <w:r>
        <w:rPr>
          <w:rFonts w:ascii="Arial" w:hAnsi="Arial"/>
          <w:b/>
          <w:sz w:val="22"/>
        </w:rPr>
        <w:t xml:space="preserve">Aporte: </w:t>
      </w:r>
      <w:r>
        <w:rPr>
          <w:rFonts w:ascii="Arial" w:hAnsi="Arial"/>
          <w:sz w:val="22"/>
        </w:rPr>
        <w:t>Permite ubicar herramientas de IA dentro de modelos de negocio de datos y captura de atención.</w:t>
      </w:r>
    </w:p>
    <w:p>
      <w:r>
        <w:rPr>
          <w:rFonts w:ascii="Arial" w:hAnsi="Arial"/>
          <w:b/>
          <w:sz w:val="22"/>
        </w:rPr>
        <w:t xml:space="preserve">Límite: </w:t>
      </w:r>
      <w:r>
        <w:rPr>
          <w:rFonts w:ascii="Arial" w:hAnsi="Arial"/>
          <w:sz w:val="22"/>
        </w:rPr>
        <w:t>Usarla con moderación para no abrir una tesis paralela sobre vigilancia.</w:t>
      </w:r>
    </w:p>
    <w:p>
      <w:r>
        <w:rPr>
          <w:rFonts w:ascii="Arial" w:hAnsi="Arial"/>
          <w:b/>
          <w:sz w:val="22"/>
        </w:rPr>
        <w:t xml:space="preserve">Referencia base: </w:t>
      </w:r>
      <w:r>
        <w:rPr>
          <w:rFonts w:ascii="Arial" w:hAnsi="Arial"/>
          <w:sz w:val="22"/>
        </w:rPr>
        <w:t>Zuboff, S. (2019). *The Age of Surveillance Capitalism*. PublicAffairs.</w:t>
      </w:r>
    </w:p>
    <w:p>
      <w:pPr>
        <w:pStyle w:val="Heading3"/>
      </w:pPr>
      <w:r>
        <w:rPr>
          <w:rFonts w:ascii="Arial" w:hAnsi="Arial"/>
          <w:sz w:val="22"/>
        </w:rPr>
        <w:t>Sonia Livingstone</w:t>
      </w:r>
    </w:p>
    <w:p>
      <w:r>
        <w:rPr>
          <w:rFonts w:ascii="Arial" w:hAnsi="Arial"/>
          <w:b/>
          <w:sz w:val="22"/>
        </w:rPr>
        <w:t xml:space="preserve">Aporte: </w:t>
      </w:r>
      <w:r>
        <w:rPr>
          <w:rFonts w:ascii="Arial" w:hAnsi="Arial"/>
          <w:sz w:val="22"/>
        </w:rPr>
        <w:t>Sirve para evitar tecnofobia o tecnoutopía: estudiar cómo estudiantes negocian oportunidades y riesgos concretos de la IA en prácticas académicas.</w:t>
      </w:r>
    </w:p>
    <w:p>
      <w:r>
        <w:rPr>
          <w:rFonts w:ascii="Arial" w:hAnsi="Arial"/>
          <w:b/>
          <w:sz w:val="22"/>
        </w:rPr>
        <w:t xml:space="preserve">Límite: </w:t>
      </w:r>
      <w:r>
        <w:rPr>
          <w:rFonts w:ascii="Arial" w:hAnsi="Arial"/>
          <w:sz w:val="22"/>
        </w:rPr>
        <w:t>No centrarla en infancia/adolescencia si el caso son universitarios; usar sus categorías de riesgo/oportunidad.</w:t>
      </w:r>
    </w:p>
    <w:p>
      <w:r>
        <w:rPr>
          <w:rFonts w:ascii="Arial" w:hAnsi="Arial"/>
          <w:b/>
          <w:sz w:val="22"/>
        </w:rPr>
        <w:t xml:space="preserve">Referencia base: </w:t>
      </w:r>
      <w:r>
        <w:rPr>
          <w:rFonts w:ascii="Arial" w:hAnsi="Arial"/>
          <w:sz w:val="22"/>
        </w:rPr>
        <w:t>Livingstone, S. (2012). Critical reflections on the benefits of ICT in education. *Oxford Review of Education*, 38(1), 9–24.</w:t>
      </w:r>
    </w:p>
    <w:p>
      <w:pPr>
        <w:pStyle w:val="Heading3"/>
      </w:pPr>
      <w:r>
        <w:rPr>
          <w:rFonts w:ascii="Arial" w:hAnsi="Arial"/>
          <w:sz w:val="22"/>
        </w:rPr>
        <w:t>UNESCO / Miao y Holmes</w:t>
      </w:r>
    </w:p>
    <w:p>
      <w:r>
        <w:rPr>
          <w:rFonts w:ascii="Arial" w:hAnsi="Arial"/>
          <w:b/>
          <w:sz w:val="22"/>
        </w:rPr>
        <w:t xml:space="preserve">Aporte: </w:t>
      </w:r>
      <w:r>
        <w:rPr>
          <w:rFonts w:ascii="Arial" w:hAnsi="Arial"/>
          <w:sz w:val="22"/>
        </w:rPr>
        <w:t>Da respaldo institucional actualizado para justificar formación crítica, responsable y transparente en IA generativa en educación superior.</w:t>
      </w:r>
    </w:p>
    <w:p>
      <w:r>
        <w:rPr>
          <w:rFonts w:ascii="Arial" w:hAnsi="Arial"/>
          <w:b/>
          <w:sz w:val="22"/>
        </w:rPr>
        <w:t xml:space="preserve">Límite: </w:t>
      </w:r>
      <w:r>
        <w:rPr>
          <w:rFonts w:ascii="Arial" w:hAnsi="Arial"/>
          <w:sz w:val="22"/>
        </w:rPr>
        <w:t>Usarla como marco normativo, no como evidencia empírica local.</w:t>
      </w:r>
    </w:p>
    <w:p>
      <w:r>
        <w:rPr>
          <w:rFonts w:ascii="Arial" w:hAnsi="Arial"/>
          <w:b/>
          <w:sz w:val="22"/>
        </w:rPr>
        <w:t xml:space="preserve">Referencia base: </w:t>
      </w:r>
      <w:r>
        <w:rPr>
          <w:rFonts w:ascii="Arial" w:hAnsi="Arial"/>
          <w:sz w:val="22"/>
        </w:rPr>
        <w:t>Miao, F., &amp; Holmes, W. (2023). *Guidance for generative AI in education and research*. UNESCO.</w:t>
      </w:r>
    </w:p>
    <w:p>
      <w:pPr>
        <w:pStyle w:val="Heading3"/>
      </w:pPr>
      <w:r>
        <w:rPr>
          <w:rFonts w:ascii="Arial" w:hAnsi="Arial"/>
          <w:sz w:val="22"/>
        </w:rPr>
        <w:t>Virginia Dignum</w:t>
      </w:r>
    </w:p>
    <w:p>
      <w:r>
        <w:rPr>
          <w:rFonts w:ascii="Arial" w:hAnsi="Arial"/>
          <w:b/>
          <w:sz w:val="22"/>
        </w:rPr>
        <w:t xml:space="preserve">Aporte: </w:t>
      </w:r>
      <w:r>
        <w:rPr>
          <w:rFonts w:ascii="Arial" w:hAnsi="Arial"/>
          <w:sz w:val="22"/>
        </w:rPr>
        <w:t>Ayuda a plantear que la responsabilidad del uso de IA no recae solo en el estudiante: también involucra docentes, instituciones, plataformas y reglas transparentes.</w:t>
      </w:r>
    </w:p>
    <w:p>
      <w:r>
        <w:rPr>
          <w:rFonts w:ascii="Arial" w:hAnsi="Arial"/>
          <w:b/>
          <w:sz w:val="22"/>
        </w:rPr>
        <w:t xml:space="preserve">Límite: </w:t>
      </w:r>
      <w:r>
        <w:rPr>
          <w:rFonts w:ascii="Arial" w:hAnsi="Arial"/>
          <w:sz w:val="22"/>
        </w:rPr>
        <w:t>Conectar con protocolo de uso y declaración de IA para que no quede abstracta.</w:t>
      </w:r>
    </w:p>
    <w:p>
      <w:r>
        <w:rPr>
          <w:rFonts w:ascii="Arial" w:hAnsi="Arial"/>
          <w:b/>
          <w:sz w:val="22"/>
        </w:rPr>
        <w:t xml:space="preserve">Referencia base: </w:t>
      </w:r>
      <w:r>
        <w:rPr>
          <w:rFonts w:ascii="Arial" w:hAnsi="Arial"/>
          <w:sz w:val="22"/>
        </w:rPr>
        <w:t>Dignum, V. (2019). *Responsible Artificial Intelligence: How to Develop and Use AI in a Responsible Way*. Springer.</w:t>
      </w:r>
    </w:p>
    <w:p>
      <w:pPr>
        <w:pStyle w:val="Heading3"/>
      </w:pPr>
      <w:r>
        <w:rPr>
          <w:rFonts w:ascii="Arial" w:hAnsi="Arial"/>
          <w:sz w:val="22"/>
        </w:rPr>
        <w:t>Virginia Eubanks</w:t>
      </w:r>
    </w:p>
    <w:p>
      <w:r>
        <w:rPr>
          <w:rFonts w:ascii="Arial" w:hAnsi="Arial"/>
          <w:b/>
          <w:sz w:val="22"/>
        </w:rPr>
        <w:t xml:space="preserve">Aporte: </w:t>
      </w:r>
      <w:r>
        <w:rPr>
          <w:rFonts w:ascii="Arial" w:hAnsi="Arial"/>
          <w:sz w:val="22"/>
        </w:rPr>
        <w:t>Sirve como advertencia: la automatización educativa puede ampliar desigualdades si no se evalúan condiciones concretas de acceso y uso.</w:t>
      </w:r>
    </w:p>
    <w:p>
      <w:r>
        <w:rPr>
          <w:rFonts w:ascii="Arial" w:hAnsi="Arial"/>
          <w:b/>
          <w:sz w:val="22"/>
        </w:rPr>
        <w:t xml:space="preserve">Límite: </w:t>
      </w:r>
      <w:r>
        <w:rPr>
          <w:rFonts w:ascii="Arial" w:hAnsi="Arial"/>
          <w:sz w:val="22"/>
        </w:rPr>
        <w:t>No forzarla si la tesis no aborda sistemas decisionales automatizados.</w:t>
      </w:r>
    </w:p>
    <w:p>
      <w:r>
        <w:rPr>
          <w:rFonts w:ascii="Arial" w:hAnsi="Arial"/>
          <w:b/>
          <w:sz w:val="22"/>
        </w:rPr>
        <w:t xml:space="preserve">Referencia base: </w:t>
      </w:r>
      <w:r>
        <w:rPr>
          <w:rFonts w:ascii="Arial" w:hAnsi="Arial"/>
          <w:sz w:val="22"/>
        </w:rPr>
        <w:t>Eubanks, V. (2018). *Automating Inequality*. St. Martin’s Press.</w:t>
      </w:r>
    </w:p>
    <w:p>
      <w:pPr>
        <w:pStyle w:val="Heading3"/>
      </w:pPr>
      <w:r>
        <w:rPr>
          <w:rFonts w:ascii="Arial" w:hAnsi="Arial"/>
          <w:sz w:val="22"/>
        </w:rPr>
        <w:t>Wayne Holmes</w:t>
      </w:r>
    </w:p>
    <w:p>
      <w:r>
        <w:rPr>
          <w:rFonts w:ascii="Arial" w:hAnsi="Arial"/>
          <w:b/>
          <w:sz w:val="22"/>
        </w:rPr>
        <w:t xml:space="preserve">Aporte: </w:t>
      </w:r>
      <w:r>
        <w:rPr>
          <w:rFonts w:ascii="Arial" w:hAnsi="Arial"/>
          <w:sz w:val="22"/>
        </w:rPr>
        <w:t>Aterriza la discusión en educación e IA, especialmente límites de automatización y necesidad de mantener juicio humano.</w:t>
      </w:r>
    </w:p>
    <w:p>
      <w:r>
        <w:rPr>
          <w:rFonts w:ascii="Arial" w:hAnsi="Arial"/>
          <w:b/>
          <w:sz w:val="22"/>
        </w:rPr>
        <w:t xml:space="preserve">Límite: </w:t>
      </w:r>
      <w:r>
        <w:rPr>
          <w:rFonts w:ascii="Arial" w:hAnsi="Arial"/>
          <w:sz w:val="22"/>
        </w:rPr>
        <w:t>Revisar edición/fuente final antes de citar formalmente en entrega.</w:t>
      </w:r>
    </w:p>
    <w:p>
      <w:r>
        <w:rPr>
          <w:rFonts w:ascii="Arial" w:hAnsi="Arial"/>
          <w:b/>
          <w:sz w:val="22"/>
        </w:rPr>
        <w:t xml:space="preserve">Referencia base: </w:t>
      </w:r>
      <w:r>
        <w:rPr>
          <w:rFonts w:ascii="Arial" w:hAnsi="Arial"/>
          <w:sz w:val="22"/>
        </w:rPr>
        <w:t>Holmes, W., Bialik, M., &amp; Fadel, C. (2019). *Artificial Intelligence in Education: Promises and Implications for Teaching and Learning*. Center for Curriculum Redesign.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