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DOSIER TÉCNICO</w:t>
      </w:r>
    </w:p>
    <w:p>
      <w:pPr>
        <w:jc w:val="center"/>
      </w:pPr>
      <w:r>
        <w:rPr>
          <w:color w:val="C08000"/>
          <w:sz w:val="36"/>
        </w:rPr>
        <w:t>───────</w:t>
      </w:r>
    </w:p>
    <w:p/>
    <w:p>
      <w:pPr>
        <w:jc w:val="center"/>
      </w:pPr>
      <w:r>
        <w:rPr>
          <w:b/>
          <w:color w:val="8B0000"/>
          <w:sz w:val="72"/>
        </w:rPr>
        <w:t>ACEITE ROMPE DOLOR</w:t>
      </w:r>
    </w:p>
    <w:p>
      <w:pPr>
        <w:jc w:val="center"/>
      </w:pPr>
      <w:r>
        <w:rPr>
          <w:i/>
          <w:color w:val="555555"/>
          <w:sz w:val="32"/>
        </w:rPr>
        <w:t>Analgésico tópico de origen natural</w:t>
      </w:r>
    </w:p>
    <w:p>
      <w:pPr>
        <w:jc w:val="center"/>
      </w:pPr>
      <w:r>
        <w:rPr>
          <w:sz w:val="22"/>
        </w:rPr>
      </w:r>
    </w:p>
    <w:p/>
    <w:p/>
    <w:p/>
    <w:p/>
    <w:p>
      <w:pPr>
        <w:jc w:val="center"/>
      </w:pPr>
      <w:r>
        <w:rPr>
          <w:b/>
          <w:color w:val="333333"/>
          <w:sz w:val="22"/>
        </w:rPr>
        <w:t xml:space="preserve">Formulación:  </w:t>
      </w:r>
      <w:r>
        <w:rPr>
          <w:color w:val="555555"/>
          <w:sz w:val="22"/>
        </w:rPr>
        <w:t>F-ACE-002</w:t>
      </w:r>
    </w:p>
    <w:p>
      <w:pPr>
        <w:jc w:val="center"/>
      </w:pPr>
      <w:r>
        <w:rPr>
          <w:b/>
          <w:color w:val="333333"/>
          <w:sz w:val="22"/>
        </w:rPr>
        <w:t xml:space="preserve">Versión:  </w:t>
      </w:r>
      <w:r>
        <w:rPr>
          <w:color w:val="555555"/>
          <w:sz w:val="22"/>
        </w:rPr>
        <w:t>2.0</w:t>
      </w:r>
    </w:p>
    <w:p>
      <w:pPr>
        <w:jc w:val="center"/>
      </w:pPr>
      <w:r>
        <w:rPr>
          <w:b/>
          <w:color w:val="333333"/>
          <w:sz w:val="22"/>
        </w:rPr>
        <w:t xml:space="preserve">Fecha de elaboración:  </w:t>
      </w:r>
      <w:r>
        <w:rPr>
          <w:color w:val="555555"/>
          <w:sz w:val="22"/>
        </w:rPr>
        <w:t>Mayo 2026</w:t>
      </w:r>
    </w:p>
    <w:p>
      <w:pPr>
        <w:jc w:val="center"/>
      </w:pPr>
      <w:r>
        <w:rPr>
          <w:b/>
          <w:color w:val="333333"/>
          <w:sz w:val="22"/>
        </w:rPr>
        <w:t xml:space="preserve">Elaborado por:  </w:t>
      </w:r>
      <w:r>
        <w:rPr>
          <w:color w:val="555555"/>
          <w:sz w:val="22"/>
        </w:rPr>
        <w:t>[Nombre del fabricante]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t>1. Ficha técnica del producto</w:t>
      </w:r>
    </w:p>
    <w:p>
      <w:pPr>
        <w:spacing w:after="80"/>
      </w:pPr>
      <w:r>
        <w:t>2. Composición cualitativa y cuantitativa</w:t>
      </w:r>
    </w:p>
    <w:p>
      <w:pPr>
        <w:spacing w:after="80"/>
      </w:pPr>
      <w:r>
        <w:t>3. Descripción de principios activos</w:t>
      </w:r>
    </w:p>
    <w:p>
      <w:pPr>
        <w:spacing w:after="80"/>
      </w:pPr>
      <w:r>
        <w:t>4. Descripción de los macerados vegetales</w:t>
      </w:r>
    </w:p>
    <w:p>
      <w:pPr>
        <w:spacing w:after="80"/>
      </w:pPr>
      <w:r>
        <w:t>5. Propiedades farmacológicas</w:t>
      </w:r>
    </w:p>
    <w:p>
      <w:pPr>
        <w:spacing w:after="80"/>
      </w:pPr>
      <w:r>
        <w:t>6. Indicaciones terapéuticas</w:t>
      </w:r>
    </w:p>
    <w:p>
      <w:pPr>
        <w:spacing w:after="80"/>
      </w:pPr>
      <w:r>
        <w:t>7. Contraindicaciones y precauciones</w:t>
      </w:r>
    </w:p>
    <w:p>
      <w:pPr>
        <w:spacing w:after="80"/>
      </w:pPr>
      <w:r>
        <w:t>8. Modo de empleo</w:t>
      </w:r>
    </w:p>
    <w:p>
      <w:pPr>
        <w:spacing w:after="80"/>
      </w:pPr>
      <w:r>
        <w:t>9. Reacciones adversas</w:t>
      </w:r>
    </w:p>
    <w:p>
      <w:pPr>
        <w:spacing w:after="80"/>
      </w:pPr>
      <w:r>
        <w:t>10. Presentación y condiciones de conservación</w:t>
      </w:r>
    </w:p>
    <w:p>
      <w:pPr>
        <w:spacing w:after="80"/>
      </w:pPr>
      <w:r>
        <w:t>11. Método de elaboración</w:t>
      </w:r>
    </w:p>
    <w:p>
      <w:pPr>
        <w:spacing w:after="80"/>
      </w:pPr>
      <w:r>
        <w:t>12. Control de calidad</w:t>
      </w:r>
    </w:p>
    <w:p>
      <w:pPr>
        <w:spacing w:after="80"/>
      </w:pPr>
      <w:r>
        <w:t>13. Bibliografía</w:t>
      </w:r>
    </w:p>
    <w:p>
      <w:r>
        <w:br w:type="page"/>
      </w:r>
    </w:p>
    <w:p>
      <w:pPr>
        <w:pStyle w:val="Heading1"/>
      </w:pPr>
      <w:r>
        <w:t>1. Ficha técnica del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6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Nombre del producto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Aceite Rompe Dolor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Código de formulación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F-ACE-002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Versión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2.0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Categoría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Analgésico tópico / Linimento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Presentación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Frasco de vidrio ámbar con gotero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Volumen neto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250 ml (u otro según envasado)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Vehículo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Aceite mineral (USP) con macerados vegetales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pH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No aplica (producto oleoso)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Densidad aprox.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0.87 – 0.92 g/ml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Conservación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Lugar fresco, seco y protegido de la luz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Periodo de validez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12 meses (con Vitamina E)</w:t>
            </w:r>
          </w:p>
        </w:tc>
      </w:tr>
    </w:tbl>
    <w:p/>
    <w:p>
      <w:pPr>
        <w:pStyle w:val="Heading1"/>
      </w:pPr>
      <w:r>
        <w:t>2. Composición cualitativa y cuantitativa</w:t>
      </w:r>
    </w:p>
    <w:p>
      <w:r>
        <w:t>Formulación para un lote de 2,815 ml de aceite base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Ingrediente</w:t>
            </w:r>
          </w:p>
        </w:tc>
        <w:tc>
          <w:tcPr>
            <w:tcW w:type="dxa" w:w="2280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280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p/p aprox.</w:t>
            </w:r>
          </w:p>
        </w:tc>
        <w:tc>
          <w:tcPr>
            <w:tcW w:type="dxa" w:w="2280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Aceite mineral (base sobrante)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565 ml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19.4%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Vehículo oleoso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Macerado de Romero (Rosmarinus officinalis)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~450 ml*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16.0%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Antiinflamatorio, analgésico</w:t>
            </w:r>
          </w:p>
        </w:tc>
      </w:tr>
      <w:tr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Macerado de Árnica (Arnica montana)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~450 ml*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16.0%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Antiinflamatorio, analgésico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Macerado de Tomillo (Thymus vulgaris)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~450 ml*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16.0%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Antiséptico, rubefaciente</w:t>
            </w:r>
          </w:p>
        </w:tc>
      </w:tr>
      <w:tr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Macerado de Caléndula (Calendula officinalis)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~450 ml*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16.0%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Cicatrizante, antiinflamatorio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Macerado de Cedro (Cedrus atlantica)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~450 ml*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16.0%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Antiséptico, astringente</w:t>
            </w:r>
          </w:p>
        </w:tc>
      </w:tr>
      <w:tr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Alcanfor (C10H16O)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180 g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6.3%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Analgésico tópico, rubefaciente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Mentol cristalizado (C10H20O)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100 g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3.5%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Analgésico, efecto refrigerante</w:t>
            </w:r>
          </w:p>
        </w:tc>
      </w:tr>
      <w:tr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Salicilato de metilo (C8H8O3)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250 ml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8.6%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Antiinflamatorio, antirreumático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Aceite esencial de Eucalipto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15 ml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0.5%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sz w:val="20"/>
              </w:rPr>
              <w:t>Sinergista, penetración cutánea</w:t>
            </w:r>
          </w:p>
        </w:tc>
      </w:tr>
      <w:tr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Vitamina E (acetato de tocoferilo)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5 ml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0.2%</w:t>
            </w:r>
          </w:p>
        </w:tc>
        <w:tc>
          <w:tcPr>
            <w:tcW w:type="dxa" w:w="2280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Antioxidante, estabilizante</w:t>
            </w:r>
          </w:p>
        </w:tc>
      </w:tr>
    </w:tbl>
    <w:p>
      <w:r>
        <w:rPr>
          <w:i/>
          <w:color w:val="666666"/>
          <w:sz w:val="18"/>
        </w:rPr>
        <w:t>* Cantidad aproximada después del filtrado de la maceración (recuperación estimada del 90% sobre 500 ml por planta).</w:t>
      </w:r>
    </w:p>
    <w:p>
      <w:r>
        <w:br w:type="page"/>
      </w:r>
    </w:p>
    <w:p>
      <w:pPr>
        <w:pStyle w:val="Heading1"/>
      </w:pPr>
      <w:r>
        <w:t>3. Descripción de principios activos</w:t>
      </w:r>
    </w:p>
    <w:p>
      <w:pPr>
        <w:pStyle w:val="Heading2"/>
      </w:pPr>
      <w:r>
        <w:t>Alcanfor</w:t>
      </w:r>
    </w:p>
    <w:p>
      <w:r>
        <w:rPr>
          <w:b/>
          <w:sz w:val="20"/>
        </w:rPr>
        <w:t>Fórmula molecular: C10H16O</w:t>
      </w:r>
    </w:p>
    <w:p>
      <w:r>
        <w:t>Compuesto terpénico cristalino blanco de aroma característico. Se obtiene de la madera del alcanforero (Cinnamomum camphora) o por síntesis. Actúa como rubefaciente y analgésico tópico. Penetra la piel produciendo una sensación de calor moderado que alivia dolores musculares y articulares. Concentración en fórmula: ~6.3%.</w:t>
      </w:r>
    </w:p>
    <w:p>
      <w:pPr>
        <w:pStyle w:val="Heading2"/>
      </w:pPr>
      <w:r>
        <w:t>Mentol cristalizado</w:t>
      </w:r>
    </w:p>
    <w:p>
      <w:r>
        <w:rPr>
          <w:b/>
          <w:sz w:val="20"/>
        </w:rPr>
        <w:t>Fórmula molecular: C10H20O</w:t>
      </w:r>
    </w:p>
    <w:p>
      <w:r>
        <w:t>Alcohol terpénico cristalino obtenido del aceite esencial de menta (Mentha piperita). Proporciona una sensación de frío intenso mediante la activación de los canales TRPM8. Produce analgesia por contrairritación y modulación de la percepción del dolor. Concentración en fórmula: ~3.5%.</w:t>
      </w:r>
    </w:p>
    <w:p>
      <w:pPr>
        <w:pStyle w:val="Heading2"/>
      </w:pPr>
      <w:r>
        <w:t>Salicilato de metilo</w:t>
      </w:r>
    </w:p>
    <w:p>
      <w:r>
        <w:rPr>
          <w:b/>
          <w:sz w:val="20"/>
        </w:rPr>
        <w:t>Fórmula molecular: C8H8O3</w:t>
      </w:r>
    </w:p>
    <w:p>
      <w:r>
        <w:t>Éster metílico del ácido salicílico, de aroma inconfundible. Es un antiinflamatorio y analgésico tópico del grupo de los salicilatos. Se absorbe a través de la piel y actúa inhibiendo la ciclooxigenasa (COX), reduciendo la síntesis de prostaglandinas implicadas en el proceso inflamatorio. Concentración en fórmula: ~8.6%.</w:t>
      </w:r>
    </w:p>
    <w:p>
      <w:pPr>
        <w:pStyle w:val="Heading2"/>
      </w:pPr>
      <w:r>
        <w:t>Aceite esencial de Eucalipto</w:t>
      </w:r>
    </w:p>
    <w:p>
      <w:r>
        <w:rPr>
          <w:b/>
          <w:sz w:val="20"/>
        </w:rPr>
        <w:t>Fórmula molecular: —</w:t>
      </w:r>
    </w:p>
    <w:p>
      <w:r>
        <w:t>Obtenido por destilación de las hojas de Eucalyptus globulus. Su componente principal, el eucaliptol (1,8-cineol), posee propiedades analgésicas y antiinflamatorias, además de potenciar la penetración transdérmica de los demás principios activos. Aporta un aroma refrescante que mejora la experiencia sensorial del producto. Concentración en fórmula: ~0.5%.</w:t>
      </w:r>
    </w:p>
    <w:p>
      <w:pPr>
        <w:pStyle w:val="Heading2"/>
      </w:pPr>
      <w:r>
        <w:t>Vitamina E (α-tocoferol)</w:t>
      </w:r>
    </w:p>
    <w:p>
      <w:r>
        <w:rPr>
          <w:b/>
          <w:sz w:val="20"/>
        </w:rPr>
        <w:t>Fórmula molecular: C29H50O2</w:t>
      </w:r>
    </w:p>
    <w:p>
      <w:r>
        <w:t>Potente antioxidante liposoluble. Protege los ácidos grasos de los aceites macerados frente a la oxidación y el enranciamiento. Además, contribuye a la regeneración cutánea y potencia el efecto antiinflamatorio. Concentración en fórmula: ~0.2%.</w:t>
      </w:r>
    </w:p>
    <w:p>
      <w:pPr>
        <w:pStyle w:val="Heading1"/>
      </w:pPr>
      <w:r>
        <w:t>4. Descripción de los macerados vegetales</w:t>
      </w:r>
    </w:p>
    <w:p>
      <w:r>
        <w:t>Los macerados se elaboran mediante la extracción por contacto de drogas vegetales secas en aceite mineral durante un período de 7 a 14 días, con agitación periódica y protección de la luz. Posteriormente se filtran para obtener un aceite medicinal enriquecido con los principios activos liposolubles de cada planta.</w:t>
      </w:r>
    </w:p>
    <w:p>
      <w:r>
        <w:rPr>
          <w:b/>
          <w:sz w:val="20"/>
        </w:rPr>
        <w:t xml:space="preserve">Romero (Rosmarinus officinalis): </w:t>
      </w:r>
      <w:r>
        <w:rPr>
          <w:sz w:val="20"/>
        </w:rPr>
        <w:t>Contiene ácido rosmarínico, flavonoides y aceite esencial (alcanfor, borneol, eucaliptol). Propiedades antiinflamatorias, analgésicas y rubefacientes. Mejora la circulación local.</w:t>
      </w:r>
    </w:p>
    <w:p>
      <w:r>
        <w:rPr>
          <w:b/>
          <w:sz w:val="20"/>
        </w:rPr>
        <w:t xml:space="preserve">Árnica (Arnica montana): </w:t>
      </w:r>
      <w:r>
        <w:rPr>
          <w:sz w:val="20"/>
        </w:rPr>
        <w:t>Contiene lactonas sesquiterpénicas (helenalina), flavonoides y aceite esencial. Antiinflamatorio y analgésico tópico de referencia para contusiones, hematomas y dolores musculares.</w:t>
      </w:r>
    </w:p>
    <w:p>
      <w:r>
        <w:rPr>
          <w:b/>
          <w:sz w:val="20"/>
        </w:rPr>
        <w:t xml:space="preserve">Tomillo (Thymus vulgaris): </w:t>
      </w:r>
      <w:r>
        <w:rPr>
          <w:sz w:val="20"/>
        </w:rPr>
        <w:t>Contiene timol, carvacrol, flavonoides y ácidos fenólicos. Antiséptico, rubefaciente y ligeramente analgésico. Complementa la acción de los demás activos.</w:t>
      </w:r>
    </w:p>
    <w:p>
      <w:r>
        <w:rPr>
          <w:b/>
          <w:sz w:val="20"/>
        </w:rPr>
        <w:t xml:space="preserve">Caléndula (Calendula officinalis): </w:t>
      </w:r>
      <w:r>
        <w:rPr>
          <w:sz w:val="20"/>
        </w:rPr>
        <w:t>Contiene triterpenoides (faradiol), flavonoides y carotenoides. Antiinflamatorio, cicatrizante y regenerador cutáneo. Ideal para dolores con componente inflamatorio.</w:t>
      </w:r>
    </w:p>
    <w:p>
      <w:r>
        <w:rPr>
          <w:b/>
          <w:sz w:val="20"/>
        </w:rPr>
        <w:t xml:space="preserve">Cedro (Cedrus atlantica / Cedrus deodara): </w:t>
      </w:r>
      <w:r>
        <w:rPr>
          <w:sz w:val="20"/>
        </w:rPr>
        <w:t>Contiene sesquiterpenos (himachalol, atlantona) con propiedades antisépticas, astringentes y antiinflamatorias. Contribuye a la estabilidad microbiológica del producto.</w:t>
      </w:r>
    </w:p>
    <w:p>
      <w:r>
        <w:br w:type="page"/>
      </w:r>
    </w:p>
    <w:p>
      <w:pPr>
        <w:pStyle w:val="Heading1"/>
      </w:pPr>
      <w:r>
        <w:t>5. Propiedades farmacológicas</w:t>
      </w:r>
    </w:p>
    <w:p>
      <w:pPr>
        <w:pStyle w:val="Heading2"/>
      </w:pPr>
      <w:r>
        <w:t>Mecanismo de acción</w:t>
      </w:r>
    </w:p>
    <w:p>
      <w:r>
        <w:t>El Aceite Rompe Dolor actúa mediante tres mecanismos complementarios:</w:t>
        <w:br/>
        <w:br/>
        <w:t>1. Efecto contrairritante: El alcanfor, mentol y salicilato de metilo estimulan los receptores sensoriales de la piel, produciendo sensaciones alternas de calor y frío que compiten con la señal dolorosa a nivel medular (teoría de la compuerta del dolor de Melzack y Wall).</w:t>
        <w:br/>
        <w:br/>
        <w:t>2. Inhibición de la cascada inflamatoria: El salicilato de metilo inhibe la ciclooxigenasa (COX), reduciendo la síntesis de prostaglandinas. Los macerados de árnica, romero y caléndula aportan flavonoides y terpenoides con acción antiinflamatoria complementaria.</w:t>
        <w:br/>
        <w:br/>
        <w:t>3. Vasomodulación periférica: El mentol produce vasoconstricción inicial seguida de vasodilatación, mientras que el alcanfor provoca rubefacción, mejorando el flujo sanguíneo local y facilitando la eliminación de mediadores inflamatorios.</w:t>
      </w:r>
    </w:p>
    <w:p>
      <w:pPr>
        <w:pStyle w:val="Heading2"/>
      </w:pPr>
      <w:r>
        <w:t>Farmacocinética (vía tópica)</w:t>
      </w:r>
    </w:p>
    <w:p>
      <w:r>
        <w:t>Penetración transdérmica favorecida por el vehículo oleoso y la presencia de aceite esencial de eucalipto (potenciador de absorción). Los activos alcanzan tejidos subcutáneos y músculo superficial. El salicilato de metilo se absorbe y es hidrolizado por esterasas cutáneas liberando ácido salicílico. El alcanfor y mentol se absorben rápidamente y se eliminan por vía renal tras metabolización hepática.</w:t>
      </w:r>
    </w:p>
    <w:p>
      <w:pPr>
        <w:pStyle w:val="Heading1"/>
      </w:pPr>
      <w:r>
        <w:t>6. Indicaciones terapéuticas</w:t>
      </w:r>
    </w:p>
    <w:p>
      <w:pPr>
        <w:pStyle w:val="ListBullet"/>
      </w:pPr>
      <w:r>
        <w:t>Dolores musculares y contracturas</w:t>
      </w:r>
    </w:p>
    <w:p>
      <w:pPr>
        <w:pStyle w:val="ListBullet"/>
      </w:pPr>
      <w:r>
        <w:t>Dolores articulares (artritis, artrosis, reumatismo)</w:t>
      </w:r>
    </w:p>
    <w:p>
      <w:pPr>
        <w:pStyle w:val="ListBullet"/>
      </w:pPr>
      <w:r>
        <w:t>Lumbalgia y dorsalgia</w:t>
      </w:r>
    </w:p>
    <w:p>
      <w:pPr>
        <w:pStyle w:val="ListBullet"/>
      </w:pPr>
      <w:r>
        <w:t>Torceduras, esguinces y contusiones</w:t>
      </w:r>
    </w:p>
    <w:p>
      <w:pPr>
        <w:pStyle w:val="ListBullet"/>
      </w:pPr>
      <w:r>
        <w:t>Hematomas y equimosis</w:t>
      </w:r>
    </w:p>
    <w:p>
      <w:pPr>
        <w:pStyle w:val="ListBullet"/>
      </w:pPr>
      <w:r>
        <w:t>Dolores cervicales y tortícolis</w:t>
      </w:r>
    </w:p>
    <w:p>
      <w:pPr>
        <w:pStyle w:val="ListBullet"/>
      </w:pPr>
      <w:r>
        <w:t>Calambres musculares</w:t>
      </w:r>
    </w:p>
    <w:p>
      <w:pPr>
        <w:pStyle w:val="ListBullet"/>
      </w:pPr>
      <w:r>
        <w:t>Dolor post-esfuerzo o post-ejercicio</w:t>
      </w:r>
    </w:p>
    <w:p>
      <w:pPr>
        <w:pStyle w:val="Heading1"/>
      </w:pPr>
      <w:r>
        <w:t>7. Contraindicaciones y precauciones</w:t>
      </w:r>
    </w:p>
    <w:p>
      <w:pPr>
        <w:pStyle w:val="Heading2"/>
      </w:pPr>
      <w:r>
        <w:t>Contraindicaciones absolutas</w:t>
      </w:r>
    </w:p>
    <w:p>
      <w:pPr>
        <w:pStyle w:val="ListBullet"/>
      </w:pPr>
      <w:r>
        <w:t>Hipersensibilidad conocida a alguno de los componentes (salicilatos, alcanfor, mentol, plantas de la familia Asteraceae como árnica y caléndula)</w:t>
      </w:r>
    </w:p>
    <w:p>
      <w:pPr>
        <w:pStyle w:val="ListBullet"/>
      </w:pPr>
      <w:r>
        <w:t>No aplicar sobre heridas abiertas, piel irritada, quemaduras o eczemas</w:t>
      </w:r>
    </w:p>
    <w:p>
      <w:pPr>
        <w:pStyle w:val="ListBullet"/>
      </w:pPr>
      <w:r>
        <w:t>Embarazo y lactancia (especialmente en abdomen y zonas extensas)</w:t>
      </w:r>
    </w:p>
    <w:p>
      <w:pPr>
        <w:pStyle w:val="ListBullet"/>
      </w:pPr>
      <w:r>
        <w:t>Niños menores de 6 años (riesgo de toxicidad por alcanfor)</w:t>
      </w:r>
    </w:p>
    <w:p>
      <w:pPr>
        <w:pStyle w:val="ListBullet"/>
      </w:pPr>
      <w:r>
        <w:t>Antecedentes de asma bronquial sensible a salicilatos</w:t>
      </w:r>
    </w:p>
    <w:p>
      <w:pPr>
        <w:pStyle w:val="Heading2"/>
      </w:pPr>
      <w:r>
        <w:t>Precauciones</w:t>
      </w:r>
    </w:p>
    <w:p>
      <w:pPr>
        <w:pStyle w:val="ListBullet"/>
      </w:pPr>
      <w:r>
        <w:t>Uso exclusivo externo. No ingerir. Evitar contacto con ojos y mucosas.</w:t>
      </w:r>
    </w:p>
    <w:p>
      <w:pPr>
        <w:pStyle w:val="ListBullet"/>
      </w:pPr>
      <w:r>
        <w:t>No aplicar en grandes extensiones de piel ni con vendajes oclusivos.</w:t>
      </w:r>
    </w:p>
    <w:p>
      <w:pPr>
        <w:pStyle w:val="ListBullet"/>
      </w:pPr>
      <w:r>
        <w:t>En caso de irritación o erupción cutánea, suspender el uso inmediatamente.</w:t>
      </w:r>
    </w:p>
    <w:p>
      <w:pPr>
        <w:pStyle w:val="ListBullet"/>
      </w:pPr>
      <w:r>
        <w:t>Lavarse las manos después de cada aplicación.</w:t>
      </w:r>
    </w:p>
    <w:p>
      <w:pPr>
        <w:pStyle w:val="ListBullet"/>
      </w:pPr>
      <w:r>
        <w:t>Mantener fuera del alcance de los niños.</w:t>
      </w:r>
    </w:p>
    <w:p>
      <w:pPr>
        <w:pStyle w:val="ListBullet"/>
      </w:pPr>
      <w:r>
        <w:t>No usar junto con otros analgésicos tópicos sin supervisión.</w:t>
      </w:r>
    </w:p>
    <w:p>
      <w:pPr>
        <w:pStyle w:val="ListBullet"/>
      </w:pPr>
      <w:r>
        <w:t>No exponer la zona tratada a fuentes de calor directas (bolsas de agua caliente, lámparas infrarrojas) para evitar quemaduras.</w:t>
      </w:r>
    </w:p>
    <w:p>
      <w:r>
        <w:br w:type="page"/>
      </w:r>
    </w:p>
    <w:p>
      <w:pPr>
        <w:pStyle w:val="Heading1"/>
      </w:pPr>
      <w:r>
        <w:t>8. Modo de empleo</w:t>
      </w:r>
    </w:p>
    <w:p>
      <w:r>
        <w:rPr>
          <w:b/>
        </w:rPr>
        <w:t>Posología:</w:t>
      </w:r>
    </w:p>
    <w:p>
      <w:r>
        <w:t>Aplicar de 3 a 5 ml del aceite sobre la zona dolorida, realizando un masaje suave y circular hasta su completa absorción. Repetir la aplicación 2 a 3 veces al día, o según necesidad. No superar las 4 aplicaciones en 24 horas.</w:t>
      </w:r>
    </w:p>
    <w:p>
      <w:r>
        <w:rPr>
          <w:b/>
        </w:rPr>
        <w:t>Instrucciones de aplicación:</w:t>
      </w:r>
    </w:p>
    <w:p>
      <w:pPr>
        <w:pStyle w:val="ListBullet"/>
      </w:pPr>
      <w:r>
        <w:t>Agitar bien el frasco antes de cada uso.</w:t>
      </w:r>
    </w:p>
    <w:p>
      <w:pPr>
        <w:pStyle w:val="ListBullet"/>
      </w:pPr>
      <w:r>
        <w:t>Verter la cantidad necesaria en la palma de la mano.</w:t>
      </w:r>
    </w:p>
    <w:p>
      <w:pPr>
        <w:pStyle w:val="ListBullet"/>
      </w:pPr>
      <w:r>
        <w:t>Aplicar mediante masaje suave en la zona afectada.</w:t>
      </w:r>
    </w:p>
    <w:p>
      <w:pPr>
        <w:pStyle w:val="ListBullet"/>
      </w:pPr>
      <w:r>
        <w:t>Dejar secar al aire durante 1-2 minutos antes de vestirse.</w:t>
      </w:r>
    </w:p>
    <w:p>
      <w:pPr>
        <w:pStyle w:val="ListBullet"/>
      </w:pPr>
      <w:r>
        <w:t>Lavar las manos tras la aplicación.</w:t>
      </w:r>
    </w:p>
    <w:p>
      <w:r>
        <w:t>Duración del tratamiento: Según criterio del paciente, sin exceder 7-10 días consecutivos. Si el dolor persiste, consultar a un profesional de la salud.</w:t>
      </w:r>
    </w:p>
    <w:p>
      <w:pPr>
        <w:pStyle w:val="Heading1"/>
      </w:pPr>
      <w:r>
        <w:t>9. Reacciones adversas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456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Reacción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Frecuentes (&gt;1/100)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Sensación de calor o frío intenso transitorio en la zona de aplicación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Poco frecuentes (&lt;1/100)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Eritema leve, prurito o sensación de hormigueo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Raras (&lt;1/1000)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Reacciones alérgicas cutáneas (dermatitis de contacto)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Muy raras (&lt;1/10000)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Broncoespasmo en pacientes con asma sensible a salicilatos</w:t>
            </w:r>
          </w:p>
        </w:tc>
      </w:tr>
    </w:tbl>
    <w:p/>
    <w:p>
      <w:r>
        <w:t>En caso de reacción adversa, suspender el uso y consultar a un profesional de la salud.</w:t>
      </w:r>
    </w:p>
    <w:p>
      <w:pPr>
        <w:pStyle w:val="Heading1"/>
      </w:pPr>
      <w:r>
        <w:t>10. Presentación y condiciones de conservación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6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Envase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Frasco de vidrio ámbar con tapa de seguridad y gotero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Capacidad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250 ml, 500 ml o según presentación comercial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Etiquetado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Según normativa local (nombre, composición, lote, fecha de caducidad, precauciones)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Temperatura de conservación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15 – 25 °C (temperatura ambiente, evitar calor extremo)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Protección de la luz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Sí — conservar en envase ámbar, protegido de la luz directa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Humedad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Ambiente seco, libre de humedad</w:t>
            </w:r>
          </w:p>
        </w:tc>
      </w:tr>
      <w:tr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Vida útil estimada</w:t>
            </w:r>
          </w:p>
        </w:tc>
        <w:tc>
          <w:tcPr>
            <w:tcW w:type="dxa" w:w="456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12 meses a partir de la fecha de elaboración (con Vitamina E)</w:t>
            </w:r>
          </w:p>
        </w:tc>
      </w:tr>
      <w:tr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Periodo post-apertura</w:t>
            </w:r>
          </w:p>
        </w:tc>
        <w:tc>
          <w:tcPr>
            <w:tcW w:type="dxa" w:w="4561"/>
          </w:tcPr>
          <w:p>
            <w:pPr>
              <w:jc w:val="center"/>
            </w:pPr>
            <w:r/>
            <w:r>
              <w:rPr>
                <w:sz w:val="20"/>
              </w:rPr>
              <w:t>6 meses después de abierto</w:t>
            </w:r>
          </w:p>
        </w:tc>
      </w:tr>
    </w:tbl>
    <w:p>
      <w:r>
        <w:br w:type="page"/>
      </w:r>
    </w:p>
    <w:p>
      <w:pPr>
        <w:pStyle w:val="Heading1"/>
      </w:pPr>
      <w:r>
        <w:t>11. Método de elaboración</w:t>
      </w:r>
    </w:p>
    <w:p>
      <w:pPr>
        <w:pStyle w:val="Heading2"/>
      </w:pPr>
      <w:r>
        <w:t>11.1 Elaboración de los macerados vegetales</w:t>
      </w:r>
    </w:p>
    <w:p>
      <w:r>
        <w:t>1. Pesar 100 g de cada droga vegetal seca y troceada (romero, árnica, tomillo, caléndola, cedro).</w:t>
      </w:r>
    </w:p>
    <w:p>
      <w:r>
        <w:t>2. Colocar cada planta por separado en un recipiente de vidrio ámbar con tapa hermética.</w:t>
      </w:r>
    </w:p>
    <w:p>
      <w:r>
        <w:t>3. Cubrir cada una con 500 ml de aceite mineral.</w:t>
      </w:r>
    </w:p>
    <w:p>
      <w:r>
        <w:t>4. Cerrar herméticamente y etiquetar con nombre y fecha.</w:t>
      </w:r>
    </w:p>
    <w:p>
      <w:r>
        <w:t>5. Dejar macerar durante 7 a 14 días a temperatura ambiente (20-25 °C), protegido de la luz.</w:t>
      </w:r>
    </w:p>
    <w:p>
      <w:r>
        <w:t>6. Agitar suavemente una vez al día para facilitar la extracción.</w:t>
      </w:r>
    </w:p>
    <w:p>
      <w:r>
        <w:t>7. Transcurrido el tiempo, filtrar cada macerado con filtro de tela o papel de filtro.</w:t>
      </w:r>
    </w:p>
    <w:p>
      <w:r>
        <w:t>8. Recoger el aceite filtrado. Rendimiento aproximado: 90%, unos 450 ml por cada planta.</w:t>
      </w:r>
    </w:p>
    <w:p>
      <w:pPr>
        <w:pStyle w:val="Heading2"/>
      </w:pPr>
      <w:r>
        <w:t>11.2 Preparación del Aceite Rompe Dolor</w:t>
      </w:r>
    </w:p>
    <w:p>
      <w:r>
        <w:t>1. En un recipiente de vidrio o acero inoxidable, verter los 250 ml de salicilato de metilo.</w:t>
      </w:r>
    </w:p>
    <w:p>
      <w:r>
        <w:t>2. Agregar los 180 g de alcanfor y los 100 g de mentol cristalizado al salicilato de metilo.</w:t>
      </w:r>
    </w:p>
    <w:p>
      <w:r>
        <w:t>3. Agitar o remover hasta disolución completa de los cristales.</w:t>
      </w:r>
    </w:p>
    <w:p>
      <w:r>
        <w:t>4. Incorporar los 15 ml de aceite esencial de eucalipto y los 5 ml de vitamina E. Mezclar.</w:t>
      </w:r>
    </w:p>
    <w:p>
      <w:r>
        <w:t>5. En un recipiente más grande (capacidad mínima 3.5 L), verter los 2,815 ml de aceite base:</w:t>
      </w:r>
    </w:p>
    <w:p>
      <w:r>
        <w:t xml:space="preserve">6. </w:t>
        <w:tab/>
        <w:t>a) 565 ml de aceite mineral puro sobrante</w:t>
      </w:r>
    </w:p>
    <w:p>
      <w:r>
        <w:t xml:space="preserve">7. </w:t>
        <w:tab/>
        <w:t>b) ~2,250 ml de la mezcla de los 5 macerados vegetales filtrados</w:t>
      </w:r>
    </w:p>
    <w:p>
      <w:r>
        <w:t>8. Verter lentamente la mezcla de principios activos sobre el aceite base, agitando constantemente.</w:t>
      </w:r>
    </w:p>
    <w:p>
      <w:r>
        <w:t>9. Agitar durante 5-10 minutos para garantizar la homogeneidad.</w:t>
      </w:r>
    </w:p>
    <w:p>
      <w:r>
        <w:t>10. Envasar en frascos de vidrio ámbar, etiquetar con número de lote y fecha de caducidad.</w:t>
      </w:r>
    </w:p>
    <w:p>
      <w:pPr>
        <w:pStyle w:val="Heading1"/>
      </w:pPr>
      <w:r>
        <w:t>12. Control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304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41"/>
            <w:shd w:fill="1A3C6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Aspecto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Inspección visual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Líquido oleoso límpido, ligeramente amarillento-verdoso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Olor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Organoléptico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Característico a alcanfor, mentol y salicilato</w:t>
            </w:r>
          </w:p>
        </w:tc>
      </w:tr>
      <w:tr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Homogeneidad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Inspección visual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Sin separación de fases ni precipitados visibles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Densidad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Pienometría (25 °C)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0.87 – 0.92 g/ml</w:t>
            </w:r>
          </w:p>
        </w:tc>
      </w:tr>
      <w:tr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Índice de refracción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Refractometría (25 °C)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1.460 – 1.470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Estabilidad oxidativa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Prueba de enranciamiento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Sin cambios significativos a 40 °C / 75% HR / 30 días</w:t>
            </w:r>
          </w:p>
        </w:tc>
      </w:tr>
      <w:tr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Recuento microbiológico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Si es aplicable</w:t>
            </w:r>
          </w:p>
        </w:tc>
        <w:tc>
          <w:tcPr>
            <w:tcW w:type="dxa" w:w="3041"/>
            <w:shd w:fill="EBF0F7"/>
          </w:tcPr>
          <w:p>
            <w:pPr>
              <w:jc w:val="center"/>
            </w:pPr>
            <w:r/>
            <w:r>
              <w:rPr>
                <w:sz w:val="20"/>
              </w:rPr>
              <w:t>&lt; 100 UFC/g (hongos y levaduras), &lt; 10 UFC/g (bacterias)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Prueba de irritación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Prueba parche (patch test)</w:t>
            </w:r>
          </w:p>
        </w:tc>
        <w:tc>
          <w:tcPr>
            <w:tcW w:type="dxa" w:w="3041"/>
          </w:tcPr>
          <w:p>
            <w:pPr>
              <w:jc w:val="center"/>
            </w:pPr>
            <w:r/>
            <w:r>
              <w:rPr>
                <w:sz w:val="20"/>
              </w:rPr>
              <w:t>No irritante primario en piel humana</w:t>
            </w:r>
          </w:p>
        </w:tc>
      </w:tr>
    </w:tbl>
    <w:p/>
    <w:p>
      <w:pPr>
        <w:pStyle w:val="Heading1"/>
      </w:pPr>
      <w:r>
        <w:t>13. Bibliografía</w:t>
      </w:r>
    </w:p>
    <w:p>
      <w:r>
        <w:t>1. Bruneton, J. (2001). Farmacognosia: Fitoquímica. Plantas Medicinales. 2ª ed. Editorial Acribia.</w:t>
      </w:r>
    </w:p>
    <w:p>
      <w:r>
        <w:t>2. Pérez-López, F. et al. (2018). "Efficacy of topical methyl salicylate and menthol in musculoskeletal pain." Pain Research and Management, 2018, 1-8.</w:t>
      </w:r>
    </w:p>
    <w:p>
      <w:r>
        <w:t>3. European Medicines Agency (EMA). (2016). "Assessment report on Camphora." EMA/HMPC/162241/2014.</w:t>
      </w:r>
    </w:p>
    <w:p>
      <w:r>
        <w:t>4. Blumenthal, M. et al. (2000). Herbal Medicine: Expanded Commission E Monographs. American Botanical Council.</w:t>
      </w:r>
    </w:p>
    <w:p>
      <w:r>
        <w:t>5. Farmacopea de los Estados Unidos Mexicanos (FEUM). Monografías de drogas vegetales.</w:t>
      </w:r>
    </w:p>
    <w:p>
      <w:r>
        <w:t>6. Martindale: The Complete Drug Reference. (2017). 39th ed. Pharmaceutical Press.</w:t>
      </w:r>
    </w:p>
    <w:p>
      <w:r>
        <w:t>7. World Health Organization (WHO). (2004). WHO Monographs on Selected Medicinal Plants. Vol. 2.</w:t>
      </w:r>
    </w:p>
    <w:p>
      <w:r>
        <w:t>8. Kligman, A.M. (1983). "A biological approach to the therapy of acne." (Métodos de evaluación de irritación cutánea).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