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queda al nivel de la vereda y del piso terminado de los ingresos (NPT 260.60 msnm). Entre el muro del colector y el cimiento del cerco se deja una junta de tecnopor de 1".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queda bajo vereda y jardín,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CAR Varones (CUI 2705619) y la cuneta del Eje 01 de ese proyecto. Según el expediente del CAR Varones, su colector (b = 0.60 m) llega con cota de fondo 259.884 msnm a la cara este de la caja, por una ventana de 0.60 × 1.17 m hasta el techo de la CL, y la cuneta del Eje 01 (37.0 L/s) entra por una ventana de 0.40 × 0.66 m en el muro norte (NCF 260.394 msnm); en conjunto entregan los 258.7 L/s considerados. La caja queda del lado del CAR Varones (x = 349162.00 a 349163.80 del sistema local), por lo que su tapa se fija en +261.15 msnm, al ras del piso terminado de ese proyecto, con un escalón de 0.55 m respecto del piso de este tramo (+260.60).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 (1.88 y 5.39 m). Esa prolongación se metra dentro de las partidas de cunetas del proyecto; la partida 01.04.04 del colector incluye únicamente la ventana de empalme y su registro.</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nivel de la vereda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0.62 m, contramarco de ángulo de 1 ½" × 1 ½" × 1/8"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sellador asfáltico de 1" × 2" (asfalto líquido RC-250 + arena gruesa); junta de tecnopor de 1" con el mismo sellador en su cara superior entre el colector y el cimiento del cerco y entre la losa superior y el piso adyacente del lado vía (al lado del predio está el cerco).</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pStyle w:val="Prrafodelista"/>
        <w:spacing w:line="360" w:lineRule="auto"/>
        <w:ind w:left="1417" w:hanging="283"/>
        <w:jc w:val="both"/>
      </w:pPr>
      <w:r>
        <w:rPr>
          <w:rFonts w:ascii="Arial Narrow" w:hAnsi="Arial Narrow" w:cs="Arial Narrow"/>
          <w:b w:val="0"/>
          <w:i w:val="0"/>
          <w:sz w:val="24"/>
        </w:rPr>
        <w:t>•  Las láminas DD-01 a DD-04 desarrollan el detalle constructivo de cada una de estas partidas (contramarco, marco y tapa, juntas y empalme de cuneta): despiece, dimensiones, procedimiento y cuadro de componentes por unidad para los análisis de costos unitarios.</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Cada cantidad se sustenta en las hojas COLECTOR PARAMETROS, COLECTOR MOV. TIERRAS, COLECTOR CONCRETO, COLECTOR ENCOFRADO, COLECTOR ACERO, COLECTOR REGISTROS Y TAPAS y COLECTOR JUNTAS Y EMPALMES de la misma planilla, con las dimensiones de las láminas y la fórmula de cada medida a la vista.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164.88</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82.76</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98.54</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93.93</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35.86</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9.39</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585.23</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3056.45</w:t>
            </w:r>
          </w:p>
        </w:tc>
      </w:tr>
      <w:tr>
        <w:tc>
          <w:tcPr>
            <w:tcW w:type="dxa" w:w="5669"/>
          </w:tcPr>
          <w:p>
            <w:pPr>
              <w:jc w:val="left"/>
            </w:pPr>
            <w:r/>
            <w:r>
              <w:rPr>
                <w:rFonts w:ascii="Arial Narrow" w:hAnsi="Arial Narrow" w:cs="Arial Narrow"/>
                <w:b w:val="0"/>
                <w:i w:val="0"/>
                <w:sz w:val="20"/>
              </w:rPr>
              <w:t>Acabado frotachado y bruñado de losa superior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86.06</w:t>
            </w:r>
          </w:p>
        </w:tc>
      </w:tr>
      <w:tr>
        <w:tc>
          <w:tcPr>
            <w:tcW w:type="dxa" w:w="5669"/>
          </w:tcPr>
          <w:p>
            <w:pPr>
              <w:jc w:val="left"/>
            </w:pPr>
            <w:r/>
            <w:r>
              <w:rPr>
                <w:rFonts w:ascii="Arial Narrow" w:hAnsi="Arial Narrow" w:cs="Arial Narrow"/>
                <w:b w:val="0"/>
                <w:i w:val="0"/>
                <w:sz w:val="20"/>
              </w:rPr>
              <w:t>Curado de concreto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390.60</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100.64</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al colector receptor</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Intensidad de diseno del colector</w:t>
            </w:r>
          </w:p>
        </w:tc>
        <w:tc>
          <w:tcPr>
            <w:tcW w:type="dxa" w:w="1814"/>
          </w:tcPr>
          <w:p>
            <w:pPr>
              <w:jc w:val="center"/>
            </w:pPr>
            <w:r/>
            <w:r>
              <w:rPr>
                <w:rFonts w:ascii="Arial Narrow" w:hAnsi="Arial Narrow" w:cs="Arial Narrow"/>
                <w:b w:val="0"/>
                <w:i w:val="0"/>
                <w:sz w:val="16"/>
              </w:rPr>
              <w:t>Estudio hidrologico; MTC Manual de Hidrologia (Dick y Peschke)</w:t>
            </w:r>
          </w:p>
        </w:tc>
        <w:tc>
          <w:tcPr>
            <w:tcW w:type="dxa" w:w="2041"/>
          </w:tcPr>
          <w:p>
            <w:pPr>
              <w:jc w:val="center"/>
            </w:pPr>
            <w:r/>
            <w:r>
              <w:rPr>
                <w:rFonts w:ascii="Arial Narrow" w:hAnsi="Arial Narrow" w:cs="Arial Narrow"/>
                <w:b w:val="0"/>
                <w:i w:val="0"/>
                <w:sz w:val="16"/>
              </w:rPr>
              <w:t>tc = 15 min sobre la curva P-D del analisis estadistico (P10 = 35.16, P20 = 41.82 mm)</w:t>
            </w:r>
          </w:p>
        </w:tc>
        <w:tc>
          <w:tcPr>
            <w:tcW w:type="dxa" w:w="850"/>
          </w:tcPr>
          <w:p>
            <w:pPr>
              <w:jc w:val="center"/>
            </w:pPr>
            <w:r/>
            <w:r>
              <w:rPr>
                <w:rFonts w:ascii="Arial Narrow" w:hAnsi="Arial Narrow" w:cs="Arial Narrow"/>
                <w:b w:val="0"/>
                <w:i w:val="0"/>
                <w:sz w:val="16"/>
              </w:rPr>
              <w:t>155.66</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de diseno del tramo</w:t>
            </w:r>
          </w:p>
        </w:tc>
        <w:tc>
          <w:tcPr>
            <w:tcW w:type="dxa" w:w="1814"/>
          </w:tcPr>
          <w:p>
            <w:pPr>
              <w:jc w:val="center"/>
            </w:pPr>
            <w:r/>
            <w:r>
              <w:rPr>
                <w:rFonts w:ascii="Arial Narrow" w:hAnsi="Arial Narrow" w:cs="Arial Narrow"/>
                <w:b w:val="0"/>
                <w:i w:val="0"/>
                <w:sz w:val="16"/>
              </w:rPr>
              <w:t>Metodo racional, FS = 1.15 (memorias HIDRO-CE040)</w:t>
            </w:r>
          </w:p>
        </w:tc>
        <w:tc>
          <w:tcPr>
            <w:tcW w:type="dxa" w:w="2041"/>
          </w:tcPr>
          <w:p>
            <w:pPr>
              <w:jc w:val="center"/>
            </w:pPr>
            <w:r/>
            <w:r>
              <w:rPr>
                <w:rFonts w:ascii="Arial Narrow" w:hAnsi="Arial Narrow" w:cs="Arial Narrow"/>
                <w:b w:val="0"/>
                <w:i w:val="0"/>
                <w:sz w:val="16"/>
              </w:rPr>
              <w:t>Q = Q CAR Varones (dato) + Q Hogar de Refugio</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 (&lt;= 560.7 L/s del receptor)</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0.37</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0.83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&gt;= 0.90 m/s con el caudal de diseno</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maxima (revestimiento de concreto)</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&lt;= 3.0 m/s</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Esfuerzo tractivo con caudales parciales</w:t>
            </w:r>
          </w:p>
        </w:tc>
        <w:tc>
          <w:tcPr>
            <w:tcW w:type="dxa" w:w="1814"/>
          </w:tcPr>
          <w:p>
            <w:pPr>
              <w:jc w:val="center"/>
            </w:pPr>
            <w:r/>
            <w:r>
              <w:rPr>
                <w:rFonts w:ascii="Arial Narrow" w:hAnsi="Arial Narrow" w:cs="Arial Narrow"/>
                <w:b w:val="0"/>
                <w:i w:val="0"/>
                <w:sz w:val="16"/>
              </w:rPr>
              <w:t>Criterio de autolimpieza (ASCE / WEF)</w:t>
            </w:r>
          </w:p>
        </w:tc>
        <w:tc>
          <w:tcPr>
            <w:tcW w:type="dxa" w:w="2041"/>
          </w:tcPr>
          <w:p>
            <w:pPr>
              <w:jc w:val="center"/>
            </w:pPr>
            <w:r/>
            <w:r>
              <w:rPr>
                <w:rFonts w:ascii="Arial Narrow" w:hAnsi="Arial Narrow" w:cs="Arial Narrow"/>
                <w:b w:val="0"/>
                <w:i w:val="0"/>
                <w:sz w:val="16"/>
              </w:rPr>
              <w:t>tau = gamma R S &gt;= 0.15 kg/m2 hasta el 5 % del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w:t>
            </w:r>
          </w:p>
        </w:tc>
        <w:tc>
          <w:tcPr>
            <w:tcW w:type="dxa" w:w="1814"/>
          </w:tcPr>
          <w:p>
            <w:pPr>
              <w:jc w:val="center"/>
            </w:pPr>
            <w:r/>
            <w:r>
              <w:rPr>
                <w:rFonts w:ascii="Arial Narrow" w:hAnsi="Arial Narrow" w:cs="Arial Narrow"/>
                <w:b w:val="0"/>
                <w:i w:val="0"/>
                <w:sz w:val="16"/>
              </w:rPr>
              <w:t>Criterio de diseno: NA del colector bajo el fondo de cada cuneta</w:t>
            </w:r>
          </w:p>
        </w:tc>
        <w:tc>
          <w:tcPr>
            <w:tcW w:type="dxa" w:w="2041"/>
          </w:tcPr>
          <w:p>
            <w:pPr>
              <w:jc w:val="center"/>
            </w:pPr>
            <w:r/>
            <w:r>
              <w:rPr>
                <w:rFonts w:ascii="Arial Narrow" w:hAnsi="Arial Narrow" w:cs="Arial Narrow"/>
                <w:b w:val="0"/>
                <w:i w:val="0"/>
                <w:sz w:val="16"/>
              </w:rPr>
              <w:t>Cunetas Ejes 01, 02, 06, 07, 11 y 12 (cotas del plano de arquitectura vigente)</w:t>
            </w:r>
          </w:p>
        </w:tc>
        <w:tc>
          <w:tcPr>
            <w:tcW w:type="dxa" w:w="850"/>
          </w:tcPr>
          <w:p>
            <w:pPr>
              <w:jc w:val="center"/>
            </w:pPr>
            <w:r/>
            <w:r>
              <w:rPr>
                <w:rFonts w:ascii="Arial Narrow" w:hAnsi="Arial Narrow" w:cs="Arial Narrow"/>
                <w:b w:val="0"/>
                <w:i w:val="0"/>
                <w:sz w:val="16"/>
              </w:rPr>
              <w:t>6.00</w:t>
            </w:r>
          </w:p>
        </w:tc>
        <w:tc>
          <w:tcPr>
            <w:tcW w:type="dxa" w:w="1757"/>
          </w:tcPr>
          <w:p>
            <w:pPr>
              <w:jc w:val="center"/>
            </w:pPr>
            <w:r/>
            <w:r>
              <w:rPr>
                <w:rFonts w:ascii="Arial Narrow" w:hAnsi="Arial Narrow" w:cs="Arial Narrow"/>
                <w:b w:val="0"/>
                <w:i w:val="0"/>
                <w:sz w:val="16"/>
              </w:rPr>
              <w:t>CUMPLE (6 de 6)</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margen = Q85 / Q diseno</w:t>
            </w:r>
          </w:p>
        </w:tc>
        <w:tc>
          <w:tcPr>
            <w:tcW w:type="dxa" w:w="850"/>
          </w:tcPr>
          <w:p>
            <w:pPr>
              <w:jc w:val="center"/>
            </w:pPr>
            <w:r/>
            <w:r>
              <w:rPr>
                <w:rFonts w:ascii="Arial Narrow" w:hAnsi="Arial Narrow" w:cs="Arial Narrow"/>
                <w:b w:val="0"/>
                <w:i w:val="0"/>
                <w:sz w:val="16"/>
              </w:rPr>
              <w:t>1463.62</w:t>
            </w:r>
          </w:p>
        </w:tc>
        <w:tc>
          <w:tcPr>
            <w:tcW w:type="dxa" w:w="1757"/>
          </w:tcPr>
          <w:p>
            <w:pPr>
              <w:jc w:val="center"/>
            </w:pPr>
            <w:r/>
            <w:r>
              <w:rPr>
                <w:rFonts w:ascii="Arial Narrow" w:hAnsi="Arial Narrow" w:cs="Arial Narrow"/>
                <w:b w:val="0"/>
                <w:i w:val="0"/>
                <w:sz w:val="16"/>
              </w:rPr>
              <w:t>CUMPLE (margen 2.6 veces el caudal de diseno)</w:t>
            </w:r>
          </w:p>
        </w:tc>
      </w:tr>
      <w:tr>
        <w:tc>
          <w:tcPr>
            <w:tcW w:type="dxa" w:w="2154"/>
          </w:tcPr>
          <w:p>
            <w:pPr>
              <w:jc w:val="left"/>
            </w:pPr>
            <w:r/>
            <w:r>
              <w:rPr>
                <w:rFonts w:ascii="Arial Narrow" w:hAnsi="Arial Narrow" w:cs="Arial Narrow"/>
                <w:b w:val="0"/>
                <w:i w:val="0"/>
                <w:sz w:val="16"/>
              </w:rPr>
              <w:t>Cota de llegada del colector del CAR Varones: caida libre sobre el NA de la CL y bajo el techo de la caja</w:t>
            </w:r>
          </w:p>
        </w:tc>
        <w:tc>
          <w:tcPr>
            <w:tcW w:type="dxa" w:w="1814"/>
          </w:tcPr>
          <w:p>
            <w:pPr>
              <w:jc w:val="center"/>
            </w:pPr>
            <w:r/>
            <w:r>
              <w:rPr>
                <w:rFonts w:ascii="Arial Narrow" w:hAnsi="Arial Narrow" w:cs="Arial Narrow"/>
                <w:b w:val="0"/>
                <w:i w:val="0"/>
                <w:sz w:val="16"/>
              </w:rPr>
              <w:t>Compatibilidad con el expediente del CAR Varones (CUI 2705619)</w:t>
            </w:r>
          </w:p>
        </w:tc>
        <w:tc>
          <w:tcPr>
            <w:tcW w:type="dxa" w:w="2041"/>
          </w:tcPr>
          <w:p>
            <w:pPr>
              <w:jc w:val="center"/>
            </w:pPr>
            <w:r/>
            <w:r>
              <w:rPr>
                <w:rFonts w:ascii="Arial Narrow" w:hAnsi="Arial Narrow" w:cs="Arial Narrow"/>
                <w:b w:val="0"/>
                <w:i w:val="0"/>
                <w:sz w:val="16"/>
              </w:rPr>
              <w:t>Entre el nivel de agua en 0+000 + 0.10 (caida libre) y el techo de la CL (tapa 261.15 - losa 0.10); ventana este 0.60 x 1.17</w:t>
            </w:r>
          </w:p>
        </w:tc>
        <w:tc>
          <w:tcPr>
            <w:tcW w:type="dxa" w:w="850"/>
          </w:tcPr>
          <w:p>
            <w:pPr>
              <w:jc w:val="center"/>
            </w:pPr>
            <w:r/>
            <w:r>
              <w:rPr>
                <w:rFonts w:ascii="Arial Narrow" w:hAnsi="Arial Narrow" w:cs="Arial Narrow"/>
                <w:b w:val="0"/>
                <w:i w:val="0"/>
                <w:sz w:val="16"/>
              </w:rPr>
              <w:t>259.88</w:t>
            </w:r>
          </w:p>
        </w:tc>
        <w:tc>
          <w:tcPr>
            <w:tcW w:type="dxa" w:w="1757"/>
          </w:tcPr>
          <w:p>
            <w:pPr>
              <w:jc w:val="center"/>
            </w:pPr>
            <w:r/>
            <w:r>
              <w:rPr>
                <w:rFonts w:ascii="Arial Narrow" w:hAnsi="Arial Narrow" w:cs="Arial Narrow"/>
                <w:b w:val="0"/>
                <w:i w:val="0"/>
                <w:sz w:val="16"/>
              </w:rPr>
              <w:t>CUMPLE (rango 259.71 a 261.05 msnm)</w:t>
            </w:r>
          </w:p>
        </w:tc>
      </w:tr>
      <w:tr>
        <w:tc>
          <w:tcPr>
            <w:tcW w:type="dxa" w:w="2154"/>
          </w:tcPr>
          <w:p>
            <w:pPr>
              <w:jc w:val="left"/>
            </w:pPr>
            <w:r/>
            <w:r>
              <w:rPr>
                <w:rFonts w:ascii="Arial Narrow" w:hAnsi="Arial Narrow" w:cs="Arial Narrow"/>
                <w:b w:val="0"/>
                <w:i w:val="0"/>
                <w:sz w:val="16"/>
              </w:rPr>
              <w:t>Cuneta Eje 01 del CAR Varones: caida libre a la CL</w:t>
            </w:r>
          </w:p>
        </w:tc>
        <w:tc>
          <w:tcPr>
            <w:tcW w:type="dxa" w:w="1814"/>
          </w:tcPr>
          <w:p>
            <w:pPr>
              <w:jc w:val="center"/>
            </w:pPr>
            <w:r/>
            <w:r>
              <w:rPr>
                <w:rFonts w:ascii="Arial Narrow" w:hAnsi="Arial Narrow" w:cs="Arial Narrow"/>
                <w:b w:val="0"/>
                <w:i w:val="0"/>
                <w:sz w:val="16"/>
              </w:rPr>
              <w:t>Compatibilidad con el expediente del CAR Varones</w:t>
            </w:r>
          </w:p>
        </w:tc>
        <w:tc>
          <w:tcPr>
            <w:tcW w:type="dxa" w:w="2041"/>
          </w:tcPr>
          <w:p>
            <w:pPr>
              <w:jc w:val="center"/>
            </w:pPr>
            <w:r/>
            <w:r>
              <w:rPr>
                <w:rFonts w:ascii="Arial Narrow" w:hAnsi="Arial Narrow" w:cs="Arial Narrow"/>
                <w:b w:val="0"/>
                <w:i w:val="0"/>
                <w:sz w:val="16"/>
              </w:rPr>
              <w:t>NCF en el muro norte &gt; NA de la CL</w:t>
            </w:r>
          </w:p>
        </w:tc>
        <w:tc>
          <w:tcPr>
            <w:tcW w:type="dxa" w:w="850"/>
          </w:tcPr>
          <w:p>
            <w:pPr>
              <w:jc w:val="center"/>
            </w:pPr>
            <w:r/>
            <w:r>
              <w:rPr>
                <w:rFonts w:ascii="Arial Narrow" w:hAnsi="Arial Narrow" w:cs="Arial Narrow"/>
                <w:b w:val="0"/>
                <w:i w:val="0"/>
                <w:sz w:val="16"/>
              </w:rPr>
              <w:t>260.39</w:t>
            </w:r>
          </w:p>
        </w:tc>
        <w:tc>
          <w:tcPr>
            <w:tcW w:type="dxa" w:w="1757"/>
          </w:tcPr>
          <w:p>
            <w:pPr>
              <w:jc w:val="center"/>
            </w:pPr>
            <w:r/>
            <w:r>
              <w:rPr>
                <w:rFonts w:ascii="Arial Narrow" w:hAnsi="Arial Narrow" w:cs="Arial Narrow"/>
                <w:b w:val="0"/>
                <w:i w:val="0"/>
                <w:sz w:val="16"/>
              </w:rPr>
              <w:t>CUMPLE (caida libre 0.79 m)</w:t>
            </w:r>
          </w:p>
        </w:tc>
      </w:tr>
      <w:tr>
        <w:tc>
          <w:tcPr>
            <w:tcW w:type="dxa" w:w="2154"/>
          </w:tcPr>
          <w:p>
            <w:pPr>
              <w:jc w:val="left"/>
            </w:pPr>
            <w:r/>
            <w:r>
              <w:rPr>
                <w:rFonts w:ascii="Arial Narrow" w:hAnsi="Arial Narrow" w:cs="Arial Narrow"/>
                <w:b w:val="0"/>
                <w:i w:val="0"/>
                <w:sz w:val="16"/>
              </w:rPr>
              <w:t>ENTREGA AL COLECTOR RECEPTOR (CAR MUJERES, CUI 2717013)</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Cota de fondo de llegada &gt;= cota de fondo del R-01</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CF llegada 258.89 &gt;= 258.72</w:t>
            </w:r>
          </w:p>
        </w:tc>
        <w:tc>
          <w:tcPr>
            <w:tcW w:type="dxa" w:w="850"/>
          </w:tcPr>
          <w:p>
            <w:pPr>
              <w:jc w:val="center"/>
            </w:pPr>
            <w:r/>
            <w:r>
              <w:rPr>
                <w:rFonts w:ascii="Arial Narrow" w:hAnsi="Arial Narrow" w:cs="Arial Narrow"/>
                <w:b w:val="0"/>
                <w:i w:val="0"/>
                <w:sz w:val="16"/>
              </w:rPr>
              <w:t>258.89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entregado &lt;= caudal previsto por el receptor</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Q &lt;= 560.7 L/s</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Entrega en regimen subcritico (resalto ahogado en la poza)</w:t>
            </w:r>
          </w:p>
        </w:tc>
        <w:tc>
          <w:tcPr>
            <w:tcW w:type="dxa" w:w="1814"/>
          </w:tcPr>
          <w:p>
            <w:pPr>
              <w:jc w:val="center"/>
            </w:pPr>
            <w:r/>
            <w:r>
              <w:rPr>
                <w:rFonts w:ascii="Arial Narrow" w:hAnsi="Arial Narrow" w:cs="Arial Narrow"/>
                <w:b w:val="0"/>
                <w:i w:val="0"/>
                <w:sz w:val="16"/>
              </w:rPr>
              <w:t>USBR, poza de disipacion; Chow</w:t>
            </w:r>
          </w:p>
        </w:tc>
        <w:tc>
          <w:tcPr>
            <w:tcW w:type="dxa" w:w="2041"/>
          </w:tcPr>
          <w:p>
            <w:pPr>
              <w:jc w:val="center"/>
            </w:pPr>
            <w:r/>
            <w:r>
              <w:rPr>
                <w:rFonts w:ascii="Arial Narrow" w:hAnsi="Arial Narrow" w:cs="Arial Narrow"/>
                <w:b w:val="0"/>
                <w:i w:val="0"/>
                <w:sz w:val="16"/>
              </w:rPr>
              <w:t>y2 conjugado &lt; tirante disponible en la poza</w:t>
            </w:r>
          </w:p>
        </w:tc>
        <w:tc>
          <w:tcPr>
            <w:tcW w:type="dxa" w:w="850"/>
          </w:tcPr>
          <w:p>
            <w:pPr>
              <w:jc w:val="center"/>
            </w:pPr>
            <w:r/>
            <w:r>
              <w:rPr>
                <w:rFonts w:ascii="Arial Narrow" w:hAnsi="Arial Narrow" w:cs="Arial Narrow"/>
                <w:b w:val="0"/>
                <w:i w:val="0"/>
                <w:sz w:val="16"/>
              </w:rPr>
              <w:t>RESALTO AHOGADO - CUMPLE</w:t>
            </w:r>
          </w:p>
        </w:tc>
        <w:tc>
          <w:tcPr>
            <w:tcW w:type="dxa" w:w="1757"/>
          </w:tcPr>
          <w:p>
            <w:pPr>
              <w:jc w:val="center"/>
            </w:pPr>
            <w:r/>
            <w:r>
              <w:rPr>
                <w:rFonts w:ascii="Arial Narrow" w:hAnsi="Arial Narrow" w:cs="Arial Narrow"/>
                <w:b w:val="0"/>
                <w:i w:val="0"/>
                <w:sz w:val="16"/>
              </w:rPr>
              <w:t>RESALTO AHOGADO - CUMPLE</w:t>
            </w:r>
          </w:p>
        </w:tc>
      </w:tr>
      <w:tr>
        <w:tc>
          <w:tcPr>
            <w:tcW w:type="dxa" w:w="2154"/>
          </w:tcPr>
          <w:p>
            <w:pPr>
              <w:jc w:val="left"/>
            </w:pPr>
            <w:r/>
            <w:r>
              <w:rPr>
                <w:rFonts w:ascii="Arial Narrow" w:hAnsi="Arial Narrow" w:cs="Arial Narrow"/>
                <w:b w:val="0"/>
                <w:i w:val="0"/>
                <w:sz w:val="16"/>
              </w:rPr>
              <w:t>Longitud de la poza de disipacion</w:t>
            </w:r>
          </w:p>
        </w:tc>
        <w:tc>
          <w:tcPr>
            <w:tcW w:type="dxa" w:w="1814"/>
          </w:tcPr>
          <w:p>
            <w:pPr>
              <w:jc w:val="center"/>
            </w:pPr>
            <w:r/>
            <w:r>
              <w:rPr>
                <w:rFonts w:ascii="Arial Narrow" w:hAnsi="Arial Narrow" w:cs="Arial Narrow"/>
                <w:b w:val="0"/>
                <w:i w:val="0"/>
                <w:sz w:val="16"/>
              </w:rPr>
              <w:t>USBR (resalto ahogado: L &gt;= 0.8 x 6 y2)</w:t>
            </w:r>
          </w:p>
        </w:tc>
        <w:tc>
          <w:tcPr>
            <w:tcW w:type="dxa" w:w="2041"/>
          </w:tcPr>
          <w:p>
            <w:pPr>
              <w:jc w:val="center"/>
            </w:pPr>
            <w:r/>
            <w:r>
              <w:rPr>
                <w:rFonts w:ascii="Arial Narrow" w:hAnsi="Arial Narrow" w:cs="Arial Narrow"/>
                <w:b w:val="0"/>
                <w:i w:val="0"/>
                <w:sz w:val="16"/>
              </w:rPr>
              <w:t>L poza = 3.50 m</w:t>
            </w:r>
          </w:p>
        </w:tc>
        <w:tc>
          <w:tcPr>
            <w:tcW w:type="dxa" w:w="850"/>
          </w:tcPr>
          <w:p>
            <w:pPr>
              <w:jc w:val="center"/>
            </w:pPr>
            <w:r/>
            <w:r>
              <w:rPr>
                <w:rFonts w:ascii="Arial Narrow" w:hAnsi="Arial Narrow" w:cs="Arial Narrow"/>
                <w:b w:val="0"/>
                <w:i w:val="0"/>
                <w:sz w:val="16"/>
              </w:rPr>
              <w:t>CUMPLE (resalto ahogado)</w:t>
            </w:r>
          </w:p>
        </w:tc>
        <w:tc>
          <w:tcPr>
            <w:tcW w:type="dxa" w:w="1757"/>
          </w:tcPr>
          <w:p>
            <w:pPr>
              <w:jc w:val="center"/>
            </w:pPr>
            <w:r/>
            <w:r>
              <w:rPr>
                <w:rFonts w:ascii="Arial Narrow" w:hAnsi="Arial Narrow" w:cs="Arial Narrow"/>
                <w:b w:val="0"/>
                <w:i w:val="0"/>
                <w:sz w:val="16"/>
              </w:rPr>
              <w:t>CUMPLE (resalto ahogado)</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factores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motos: flexion (rueda 1 t)</w:t>
            </w:r>
          </w:p>
        </w:tc>
        <w:tc>
          <w:tcPr>
            <w:tcW w:type="dxa" w:w="1814"/>
          </w:tcPr>
          <w:p>
            <w:pPr>
              <w:jc w:val="center"/>
            </w:pPr>
            <w:r/>
            <w:r>
              <w:rPr>
                <w:rFonts w:ascii="Arial Narrow" w:hAnsi="Arial Narrow" w:cs="Arial Narrow"/>
                <w:b w:val="0"/>
                <w:i w:val="0"/>
                <w:sz w:val="16"/>
              </w:rPr>
              <w:t>RNE E.060; AASHTO LRFD 4.6.2.1.3 (ancho de franja)</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motos: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1.24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de capacidad admisible en suelos blandos; el EMS del proyecto lo confirma</w:t>
            </w:r>
          </w:p>
        </w:tc>
        <w:tc>
          <w:tcPr>
            <w:tcW w:type="dxa" w:w="850"/>
          </w:tcPr>
          <w:p>
            <w:pPr>
              <w:jc w:val="center"/>
            </w:pPr>
            <w:r/>
            <w:r>
              <w:rPr>
                <w:rFonts w:ascii="Arial Narrow" w:hAnsi="Arial Narrow" w:cs="Arial Narrow"/>
                <w:b w:val="0"/>
                <w:i w:val="0"/>
                <w:sz w:val="16"/>
              </w:rPr>
              <w:t>0.33</w:t>
            </w:r>
          </w:p>
        </w:tc>
        <w:tc>
          <w:tcPr>
            <w:tcW w:type="dxa" w:w="1757"/>
          </w:tcPr>
          <w:p>
            <w:pPr>
              <w:jc w:val="center"/>
            </w:pPr>
            <w:r/>
            <w:r>
              <w:rPr>
                <w:rFonts w:ascii="Arial Narrow" w:hAnsi="Arial Narrow" w:cs="Arial Narrow"/>
                <w:b w:val="0"/>
                <w:i w:val="0"/>
                <w:sz w:val="16"/>
              </w:rPr>
              <w:t>CUMPLE (q = 0.33 kg/cm2 &lt; 0.50)</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y en cada llegada de cuneta; fuera de los cruces vehiculares</w:t>
            </w:r>
          </w:p>
        </w:tc>
        <w:tc>
          <w:tcPr>
            <w:tcW w:type="dxa" w:w="850"/>
          </w:tcPr>
          <w:p>
            <w:pPr>
              <w:jc w:val="center"/>
            </w:pPr>
            <w:r/>
            <w:r>
              <w:rPr>
                <w:rFonts w:ascii="Arial Narrow" w:hAnsi="Arial Narrow" w:cs="Arial Narrow"/>
                <w:b w:val="0"/>
                <w:i w:val="0"/>
                <w:sz w:val="16"/>
              </w:rPr>
              <w:t>7 + 3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del colector receptor (CAR Mujeres)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17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sin invadir la via</w:t>
            </w:r>
          </w:p>
        </w:tc>
        <w:tc>
          <w:tcPr>
            <w:tcW w:type="dxa" w:w="850"/>
          </w:tcPr>
          <w:p>
            <w:pPr>
              <w:jc w:val="center"/>
            </w:pPr>
            <w:r/>
            <w:r>
              <w:rPr>
                <w:rFonts w:ascii="Arial Narrow" w:hAnsi="Arial Narrow" w:cs="Arial Narrow"/>
                <w:b w:val="0"/>
                <w:i w:val="0"/>
                <w:sz w:val="16"/>
              </w:rPr>
              <w:t>eje a 0.575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Los datos que provienen de otros expedientes o estudios se registran a continuación con la forma en que este diseño los cubre, de modo que una variación razonable de cualquiera de ellos no altera la sección, el armado ni el metrado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CAR Varones (258.7 L/s) y la cota de fondo de su llegada (259.884 msnm) provienen del expediente de ese proyecto, con el que este tramo queda coordinado (caja CL con tapa en +261.15 y ventanas este y norte);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