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asfáltico;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Hogar de Refugio Temporal y las estructuras vecinas: borde de la losa superior con el piso adyacente a ambos lados, el cerco existente, de modo que cada estructura trabaje en forma independiente.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2026-10-14T23:28:52.466Z</dcterms:created>
  <dcterms:modified xsi:type="dcterms:W3CDTF">2026-10-14T23:28:52.470Z</dcterms:modified>
</cp:coreProperties>
</file>

<file path=docProps/custom.xml><?xml version="1.0" encoding="utf-8"?>
<Properties xmlns="http://schemas.openxmlformats.org/officeDocument/2006/custom-properties" xmlns:vt="http://schemas.openxmlformats.org/officeDocument/2006/docPropsVTypes"/>
</file>