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CAR Varones (CUI 2705619) y la cuneta del Eje 01 de ese proyecto. Según el expediente del CAR Varones, su colector (b = 0.60 m) llega con cota de fondo 259.884 msnm a la cara este de la caja, por una ventana de 0.60 × 1.17 m hasta el techo de la CL, y la cuneta del Eje 01 (37.0 L/s) entra por una ventana de 0.40 × 0.66 m en el muro norte (NCF 260.394 msnm); en conjunto entregan los 258.7 L/s considerados. La caja queda del lado del CAR Varones (x = 349162.00 a 349163.80 del sistema local), por lo que su tapa se fija en +261.15 msnm, al ras del piso terminado de ese proyecto, con un escalón de 0.55 m respecto del piso de este tramo (+260.60).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0.62 m, contramarco de ángulo de 1 ½" × 1 ½" × 1/8"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elastomérico de poliuretano;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DD-01 a DD-04 desarrollan el detalle constructivo de cada una de estas partidas (contramarco, marco y tapa, juntas y empalme de cuneta): despiece, dimensiones, procedimiento y cuadro de componentes por unidad para los análisis de costos unitarios.</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164.88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82.76</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98.54</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93.93</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35.86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9.39</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585.23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3056.45</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86.06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390.60</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100.64</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colector del CAR Varones: caida libre sobre el NA de la CL y bajo el techo de la caja</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el techo de la CL (tapa 261.15 - losa 0.10); ventana este 0.60 x 1.17</w:t>
            </w:r>
          </w:p>
        </w:tc>
        <w:tc>
          <w:tcPr>
            <w:tcW w:type="dxa" w:w="850"/>
          </w:tcPr>
          <w:p>
            <w:pPr>
              <w:jc w:val="center"/>
            </w:pPr>
            <w:r/>
            <w:r>
              <w:rPr>
                <w:rFonts w:ascii="Arial Narrow" w:hAnsi="Arial Narrow" w:cs="Arial Narrow"/>
                <w:b w:val="0"/>
                <w:i w:val="0"/>
                <w:sz w:val="16"/>
              </w:rPr>
              <w:t>259.88</w:t>
            </w:r>
          </w:p>
        </w:tc>
        <w:tc>
          <w:tcPr>
            <w:tcW w:type="dxa" w:w="1757"/>
          </w:tcPr>
          <w:p>
            <w:pPr>
              <w:jc w:val="center"/>
            </w:pPr>
            <w:r/>
            <w:r>
              <w:rPr>
                <w:rFonts w:ascii="Arial Narrow" w:hAnsi="Arial Narrow" w:cs="Arial Narrow"/>
                <w:b w:val="0"/>
                <w:i w:val="0"/>
                <w:sz w:val="16"/>
              </w:rPr>
              <w:t>CUMPLE (rango 259.71 a 261.05 msnm)</w:t>
            </w:r>
          </w:p>
        </w:tc>
      </w:tr>
      <w:tr>
        <w:tc>
          <w:tcPr>
            <w:tcW w:type="dxa" w:w="2154"/>
          </w:tcPr>
          <w:p>
            <w:pPr>
              <w:jc w:val="left"/>
            </w:pPr>
            <w:r/>
            <w:r>
              <w:rPr>
                <w:rFonts w:ascii="Arial Narrow" w:hAnsi="Arial Narrow" w:cs="Arial Narrow"/>
                <w:b w:val="0"/>
                <w:i w:val="0"/>
                <w:sz w:val="16"/>
              </w:rPr>
              <w:t>Cuneta Eje 01 del CAR Varones: caida libre a la CL</w:t>
            </w:r>
          </w:p>
        </w:tc>
        <w:tc>
          <w:tcPr>
            <w:tcW w:type="dxa" w:w="1814"/>
          </w:tcPr>
          <w:p>
            <w:pPr>
              <w:jc w:val="center"/>
            </w:pPr>
            <w:r/>
            <w:r>
              <w:rPr>
                <w:rFonts w:ascii="Arial Narrow" w:hAnsi="Arial Narrow" w:cs="Arial Narrow"/>
                <w:b w:val="0"/>
                <w:i w:val="0"/>
                <w:sz w:val="16"/>
              </w:rPr>
              <w:t>Compatibilidad con el expediente del CAR Varones</w:t>
            </w:r>
          </w:p>
        </w:tc>
        <w:tc>
          <w:tcPr>
            <w:tcW w:type="dxa" w:w="2041"/>
          </w:tcPr>
          <w:p>
            <w:pPr>
              <w:jc w:val="center"/>
            </w:pPr>
            <w:r/>
            <w:r>
              <w:rPr>
                <w:rFonts w:ascii="Arial Narrow" w:hAnsi="Arial Narrow" w:cs="Arial Narrow"/>
                <w:b w:val="0"/>
                <w:i w:val="0"/>
                <w:sz w:val="16"/>
              </w:rPr>
              <w:t>NCF en el muro norte &gt; NA de la CL</w:t>
            </w:r>
          </w:p>
        </w:tc>
        <w:tc>
          <w:tcPr>
            <w:tcW w:type="dxa" w:w="850"/>
          </w:tcPr>
          <w:p>
            <w:pPr>
              <w:jc w:val="center"/>
            </w:pPr>
            <w:r/>
            <w:r>
              <w:rPr>
                <w:rFonts w:ascii="Arial Narrow" w:hAnsi="Arial Narrow" w:cs="Arial Narrow"/>
                <w:b w:val="0"/>
                <w:i w:val="0"/>
                <w:sz w:val="16"/>
              </w:rPr>
              <w:t>260.39</w:t>
            </w:r>
          </w:p>
        </w:tc>
        <w:tc>
          <w:tcPr>
            <w:tcW w:type="dxa" w:w="1757"/>
          </w:tcPr>
          <w:p>
            <w:pPr>
              <w:jc w:val="center"/>
            </w:pPr>
            <w:r/>
            <w:r>
              <w:rPr>
                <w:rFonts w:ascii="Arial Narrow" w:hAnsi="Arial Narrow" w:cs="Arial Narrow"/>
                <w:b w:val="0"/>
                <w:i w:val="0"/>
                <w:sz w:val="16"/>
              </w:rPr>
              <w:t>CUMPLE (caida libre 0.79 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CAR Varones (258.7 L/s) y la cota de fondo de su llegada (259.884 msnm) provienen del expediente de ese proyecto, con el que este tramo queda coordinado (caja CL con tapa en +261.15 y ventanas este y norte);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