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9639" w:type="dxa"/>
        <w:jc w:val="center"/>
        <w:tblInd w:w="0" w:type="dxa"/>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1814"/>
        <w:gridCol w:w="7824"/>
      </w:tblGrid>
      <w:tr>
        <w:tc>
          <w:tcPr>
            <w:tcW w:type="dxa" w:w="1814"/>
            <w:vAlign w:val="center"/>
          </w:tcPr>
          <w:p>
            <w:pPr>
              <w:spacing w:before="0" w:after="0" w:line="240" w:lineRule="auto"/>
              <w:jc w:val="center"/>
            </w:pPr>
            <w:r>
              <w:drawing>
                <wp:inline xmlns:a="http://schemas.openxmlformats.org/drawingml/2006/main" xmlns:pic="http://schemas.openxmlformats.org/drawingml/2006/picture">
                  <wp:extent cx="905890" cy="1007999"/>
                  <wp:docPr id="1" name="Picture 1"/>
                  <wp:cNvGraphicFramePr>
                    <a:graphicFrameLocks noChangeAspect="1"/>
                  </wp:cNvGraphicFramePr>
                  <a:graphic>
                    <a:graphicData uri="http://schemas.openxmlformats.org/drawingml/2006/picture">
                      <pic:pic>
                        <pic:nvPicPr>
                          <pic:cNvPr id="0" name="escudo_gore_san_martin.png"/>
                          <pic:cNvPicPr/>
                        </pic:nvPicPr>
                        <pic:blipFill>
                          <a:blip r:embed="rId9"/>
                          <a:stretch>
                            <a:fillRect/>
                          </a:stretch>
                        </pic:blipFill>
                        <pic:spPr>
                          <a:xfrm>
                            <a:off x="0" y="0"/>
                            <a:ext cx="905890" cy="1007999"/>
                          </a:xfrm>
                          <a:prstGeom prst="rect"/>
                        </pic:spPr>
                      </pic:pic>
                    </a:graphicData>
                  </a:graphic>
                </wp:inline>
              </w:drawing>
            </w:r>
          </w:p>
        </w:tc>
        <w:tc>
          <w:tcPr>
            <w:tcW w:type="dxa" w:w="7824"/>
            <w:vAlign w:val="center"/>
          </w:tcPr>
          <w:p>
            <w:pPr>
              <w:spacing w:before="0" w:after="0" w:line="240" w:lineRule="auto"/>
              <w:jc w:val="left"/>
            </w:pPr>
            <w:r>
              <w:rPr>
                <w:rFonts w:ascii="Arial" w:hAnsi="Arial" w:eastAsia="Arial"/>
                <w:b/>
                <w:i w:val="0"/>
                <w:sz w:val="34"/>
                <w:color w:val="1E5E3B"/>
                <w:spacing w:val="10"/>
              </w:rPr>
              <w:t>GOBIERNO REGIONAL SAN MARTÍN</w:t>
            </w:r>
          </w:p>
          <w:p>
            <w:pPr>
              <w:spacing w:before="0" w:after="40" w:line="240" w:lineRule="auto"/>
              <w:jc w:val="left"/>
              <w:pBdr>
                <w:bottom w:val="single" w:sz="18" w:space="4" w:color="1E5E3B"/>
              </w:pBdr>
            </w:pPr>
            <w:r>
              <w:rPr>
                <w:rFonts w:ascii="Arial" w:hAnsi="Arial" w:eastAsia="Arial"/>
                <w:b/>
                <w:i w:val="0"/>
                <w:sz w:val="21"/>
                <w:color w:val="595959"/>
                <w:spacing w:val="6"/>
              </w:rPr>
              <w:t>GERENCIA TERRITORIAL BAJO MAYO - TARAPOTO</w:t>
            </w:r>
          </w:p>
        </w:tc>
      </w:tr>
    </w:tbl>
    <w:p>
      <w:pPr>
        <w:spacing w:before="520" w:after="160" w:line="240" w:lineRule="auto"/>
        <w:jc w:val="center"/>
      </w:pPr>
      <w:r>
        <w:rPr>
          <w:rFonts w:ascii="Arial" w:hAnsi="Arial" w:eastAsia="Arial"/>
          <w:b/>
          <w:i w:val="0"/>
          <w:color w:val="1E5E3B"/>
          <w:sz w:val="22"/>
        </w:rPr>
        <w:t>EXPEDIENTE TÉCNICO DEL PROYECTO DE INVERSIÓN:</w:t>
      </w:r>
    </w:p>
    <w:p>
      <w:pPr>
        <w:spacing w:before="0" w:after="60" w:line="252" w:lineRule="auto"/>
        <w:jc w:val="center"/>
      </w:pPr>
      <w:r>
        <w:rPr>
          <w:rFonts w:ascii="Arial" w:hAnsi="Arial" w:eastAsia="Arial"/>
          <w:b/>
          <w:i w:val="0"/>
          <w:sz w:val="20"/>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w:t>
      </w:r>
    </w:p>
    <w:p>
      <w:pPr>
        <w:spacing w:before="0" w:after="440" w:line="240" w:lineRule="auto"/>
        <w:jc w:val="center"/>
      </w:pPr>
      <w:r>
        <w:rPr>
          <w:rFonts w:ascii="Arial" w:hAnsi="Arial" w:eastAsia="Arial"/>
          <w:b/>
          <w:i w:val="0"/>
          <w:color w:val="1E5E3B"/>
          <w:sz w:val="23"/>
        </w:rPr>
        <w:t>CUI N° 2675514</w:t>
      </w:r>
    </w:p>
    <w:tbl>
      <w:tblPr>
        <w:tblW w:w="9639" w:type="dxa"/>
        <w:jc w:val="center"/>
        <w:tblInd w:w="0" w:type="dxa"/>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9639"/>
      </w:tblGrid>
      <w:tr>
        <w:tc>
          <w:tcPr>
            <w:tcW w:type="dxa" w:w="9638"/>
          </w:tcPr>
          <w:p>
            <w:pPr>
              <w:spacing w:before="0" w:after="0" w:line="240" w:lineRule="auto"/>
              <w:jc w:val="center"/>
            </w:pPr>
            <w:r>
              <w:drawing>
                <wp:inline xmlns:a="http://schemas.openxmlformats.org/drawingml/2006/main" xmlns:pic="http://schemas.openxmlformats.org/drawingml/2006/picture">
                  <wp:extent cx="6120000" cy="3442500"/>
                  <wp:docPr id="2" name="Picture 2"/>
                  <wp:cNvGraphicFramePr>
                    <a:graphicFrameLocks noChangeAspect="1"/>
                  </wp:cNvGraphicFramePr>
                  <a:graphic>
                    <a:graphicData uri="http://schemas.openxmlformats.org/drawingml/2006/picture">
                      <pic:pic>
                        <pic:nvPicPr>
                          <pic:cNvPr id="0" name="foto_proyecto_hogar_refugio.jpg"/>
                          <pic:cNvPicPr/>
                        </pic:nvPicPr>
                        <pic:blipFill>
                          <a:blip r:embed="rId10"/>
                          <a:stretch>
                            <a:fillRect/>
                          </a:stretch>
                        </pic:blipFill>
                        <pic:spPr>
                          <a:xfrm>
                            <a:off x="0" y="0"/>
                            <a:ext cx="6120000" cy="3442500"/>
                          </a:xfrm>
                          <a:prstGeom prst="rect"/>
                        </pic:spPr>
                      </pic:pic>
                    </a:graphicData>
                  </a:graphic>
                </wp:inline>
              </w:drawing>
            </w:r>
          </w:p>
        </w:tc>
      </w:tr>
    </w:tbl>
    <w:p>
      <w:pPr>
        <w:spacing w:before="60" w:after="440" w:line="240" w:lineRule="auto"/>
        <w:jc w:val="center"/>
      </w:pPr>
      <w:r>
        <w:rPr>
          <w:rFonts w:ascii="Arial" w:hAnsi="Arial" w:eastAsia="Arial"/>
          <w:b w:val="0"/>
          <w:i/>
          <w:color w:val="595959"/>
          <w:sz w:val="16"/>
        </w:rPr>
        <w:t>Vista del Hogar de Refugio Temporal</w:t>
      </w:r>
    </w:p>
    <w:tbl>
      <w:tblPr>
        <w:tblW w:w="9639" w:type="dxa"/>
        <w:jc w:val="center"/>
        <w:tblInd w:w="0" w:type="dxa"/>
        <w:tblLayout w:type="fixed"/>
        <w:tblCellMar>
          <w:left w:w="0" w:type="dxa"/>
          <w:right w:w="0" w:type="dxa"/>
        </w:tblCellMar>
        <w:tblLook w:firstColumn="1" w:firstRow="1" w:lastColumn="0" w:lastRow="0" w:noHBand="0" w:noVBand="1" w:val="04A0"/>
      </w:tblPr>
      <w:tblGrid>
        <w:gridCol w:w="9639"/>
      </w:tblGrid>
      <w:tr>
        <w:tc>
          <w:tcPr>
            <w:tcW w:type="dxa" w:w="9638"/>
            <w:tcBorders>
              <w:top w:val="nil"/>
              <w:left w:val="nil"/>
              <w:bottom w:val="nil"/>
              <w:right w:val="nil"/>
            </w:tcBorders>
            <w:shd w:val="clear" w:color="auto" w:fill="1E5E3B"/>
          </w:tcPr>
          <w:p>
            <w:pPr>
              <w:spacing w:before="320" w:after="80" w:line="240" w:lineRule="auto"/>
              <w:jc w:val="center"/>
            </w:pPr>
            <w:r>
              <w:rPr>
                <w:rFonts w:ascii="Arial" w:hAnsi="Arial" w:eastAsia="Arial"/>
                <w:b/>
                <w:i w:val="0"/>
                <w:sz w:val="52"/>
                <w:color w:val="FFFFFF"/>
                <w:spacing w:val="8"/>
              </w:rPr>
              <w:t>INCOMPATIBILIDADES</w:t>
            </w:r>
          </w:p>
          <w:p>
            <w:pPr>
              <w:spacing w:before="0" w:after="40" w:line="240" w:lineRule="auto"/>
              <w:jc w:val="center"/>
            </w:pPr>
            <w:r>
              <w:rPr>
                <w:rFonts w:ascii="Arial" w:hAnsi="Arial" w:eastAsia="Arial"/>
                <w:b/>
                <w:i w:val="0"/>
                <w:sz w:val="22"/>
                <w:color w:val="D6EEDD"/>
                <w:spacing w:val="4"/>
              </w:rPr>
              <w:t>DE UBICACIÓN DEL PROYECTO</w:t>
            </w:r>
          </w:p>
          <w:p>
            <w:pPr>
              <w:spacing w:before="0" w:after="320" w:line="240" w:lineRule="auto"/>
              <w:jc w:val="center"/>
            </w:pPr>
            <w:r>
              <w:rPr>
                <w:rFonts w:ascii="Arial" w:hAnsi="Arial" w:eastAsia="Arial"/>
                <w:b/>
                <w:i w:val="0"/>
                <w:sz w:val="22"/>
                <w:color w:val="D6EEDD"/>
                <w:spacing w:val="4"/>
              </w:rPr>
              <w:t>ESPECIALIDAD: ARQUITECTURA</w:t>
            </w:r>
          </w:p>
        </w:tc>
      </w:tr>
    </w:tbl>
    <w:tbl>
      <w:tblPr>
        <w:tblW w:w="9639" w:type="dxa"/>
        <w:jc w:val="center"/>
        <w:tblInd w:w="0" w:type="dxa"/>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4819"/>
        <w:gridCol w:w="4819"/>
      </w:tblGrid>
      <w:tr>
        <w:tc>
          <w:tcPr>
            <w:tcW w:type="dxa" w:w="4819"/>
            <w:tcBorders>
              <w:top w:val="nil"/>
              <w:left w:val="single" w:sz="24" w:color="1E5E3B"/>
              <w:bottom w:val="nil"/>
              <w:right w:val="nil"/>
            </w:tcBorders>
            <w:vAlign w:val="center"/>
          </w:tcPr>
          <w:p>
            <w:pPr>
              <w:spacing w:before="680" w:after="80" w:line="240" w:lineRule="auto"/>
              <w:jc w:val="left"/>
            </w:pPr>
            <w:r>
              <w:rPr>
                <w:rFonts w:ascii="Arial" w:hAnsi="Arial" w:eastAsia="Arial"/>
                <w:b/>
                <w:i w:val="0"/>
                <w:sz w:val="20"/>
                <w:color w:val="1E5E3B"/>
                <w:spacing w:val="6"/>
              </w:rPr>
              <w:t xml:space="preserve">   UBICACIÓN DEL PROYECTO</w:t>
            </w:r>
          </w:p>
          <w:p>
            <w:pPr>
              <w:spacing w:before="0" w:after="40" w:line="240" w:lineRule="auto"/>
              <w:jc w:val="left"/>
            </w:pPr>
            <w:r>
              <w:rPr>
                <w:rFonts w:ascii="Arial" w:hAnsi="Arial" w:eastAsia="Arial"/>
                <w:b w:val="0"/>
                <w:i w:val="0"/>
                <w:color w:val="595959"/>
                <w:sz w:val="20"/>
              </w:rPr>
              <w:t xml:space="preserve">   Distrito:  </w:t>
            </w:r>
            <w:r>
              <w:rPr>
                <w:rFonts w:ascii="Arial" w:hAnsi="Arial"/>
                <w:b/>
                <w:sz w:val="20"/>
              </w:rPr>
              <w:t>Morales</w:t>
            </w:r>
          </w:p>
          <w:p>
            <w:pPr>
              <w:spacing w:before="0" w:after="40" w:line="240" w:lineRule="auto"/>
              <w:jc w:val="left"/>
            </w:pPr>
            <w:r>
              <w:rPr>
                <w:rFonts w:ascii="Arial" w:hAnsi="Arial" w:eastAsia="Arial"/>
                <w:b w:val="0"/>
                <w:i w:val="0"/>
                <w:color w:val="595959"/>
                <w:sz w:val="20"/>
              </w:rPr>
              <w:t xml:space="preserve">   Provincia:  </w:t>
            </w:r>
            <w:r>
              <w:rPr>
                <w:rFonts w:ascii="Arial" w:hAnsi="Arial"/>
                <w:b/>
                <w:sz w:val="20"/>
              </w:rPr>
              <w:t>San Martín</w:t>
            </w:r>
          </w:p>
          <w:p>
            <w:pPr>
              <w:spacing w:before="0" w:after="40" w:line="240" w:lineRule="auto"/>
              <w:jc w:val="left"/>
            </w:pPr>
            <w:r>
              <w:rPr>
                <w:rFonts w:ascii="Arial" w:hAnsi="Arial" w:eastAsia="Arial"/>
                <w:b w:val="0"/>
                <w:i w:val="0"/>
                <w:color w:val="595959"/>
                <w:sz w:val="20"/>
              </w:rPr>
              <w:t xml:space="preserve">   Departamento:  </w:t>
            </w:r>
            <w:r>
              <w:rPr>
                <w:rFonts w:ascii="Arial" w:hAnsi="Arial"/>
                <w:b/>
                <w:sz w:val="20"/>
              </w:rPr>
              <w:t>San Martín</w:t>
            </w:r>
          </w:p>
        </w:tc>
        <w:tc>
          <w:tcPr>
            <w:tcW w:type="dxa" w:w="4819"/>
            <w:tcBorders>
              <w:top w:val="nil"/>
              <w:left w:val="single" w:sz="24" w:color="1E5E3B"/>
              <w:bottom w:val="nil"/>
              <w:right w:val="nil"/>
            </w:tcBorders>
            <w:vAlign w:val="center"/>
          </w:tcPr>
          <w:p>
            <w:pPr>
              <w:spacing w:before="680" w:after="80" w:line="240" w:lineRule="auto"/>
              <w:jc w:val="left"/>
            </w:pPr>
            <w:r>
              <w:rPr>
                <w:rFonts w:ascii="Arial" w:hAnsi="Arial" w:eastAsia="Arial"/>
                <w:b/>
                <w:i w:val="0"/>
                <w:sz w:val="20"/>
                <w:color w:val="1E5E3B"/>
                <w:spacing w:val="6"/>
              </w:rPr>
              <w:t xml:space="preserve">   FECHA</w:t>
            </w:r>
          </w:p>
          <w:p>
            <w:pPr>
              <w:spacing w:before="0" w:after="40" w:line="240" w:lineRule="auto"/>
              <w:jc w:val="left"/>
            </w:pPr>
            <w:r>
              <w:rPr>
                <w:rFonts w:ascii="Arial" w:hAnsi="Arial" w:eastAsia="Arial"/>
                <w:b/>
                <w:i w:val="0"/>
                <w:sz w:val="30"/>
                <w:color w:val="1E5E3B"/>
                <w:spacing w:val="6"/>
              </w:rPr>
              <w:t xml:space="preserve">   OCTUBRE - 2026</w:t>
            </w:r>
          </w:p>
        </w:tc>
      </w:tr>
    </w:tbl>
    <w:p>
      <w:pPr>
        <w:sectPr>
          <w:pgSz w:w="11906" w:h="16838"/>
          <w:pgMar w:top="1417" w:right="1134" w:bottom="1134" w:left="1701" w:header="720" w:footer="720" w:gutter="0"/>
          <w:cols w:space="720"/>
          <w:docGrid w:linePitch="360"/>
        </w:sectPr>
      </w:pPr>
    </w:p>
    <w:p>
      <w:pPr>
        <w:pStyle w:val="Heading1"/>
      </w:pPr>
      <w:r>
        <w:t>1.  GENERALIDADES</w:t>
      </w:r>
    </w:p>
    <w:p>
      <w:pPr>
        <w:pStyle w:val="Heading2"/>
      </w:pPr>
      <w:r>
        <w:t>1.1  Objeto</w:t>
      </w:r>
    </w:p>
    <w:p>
      <w:pPr>
        <w:spacing w:before="0" w:after="120" w:line="276" w:lineRule="auto"/>
        <w:jc w:val="both"/>
      </w:pPr>
      <w:r>
        <w:rPr>
          <w:b w:val="0"/>
          <w:i w:val="0"/>
          <w:sz w:val="22"/>
        </w:rPr>
        <w:t>El presente análisis verifica que el terreno del proyecto “CREACIÓN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 es apto para un Hogar de Refugio Temporal: que no presenta incompatibilidades de uso por cercanía a actividades, instalaciones o servidumbres reguladas por la normativa vigente, y que reúne las condiciones de ubicación que requiere este servicio de protección.</w:t>
      </w:r>
    </w:p>
    <w:p>
      <w:pPr>
        <w:pStyle w:val="Heading2"/>
      </w:pPr>
      <w:r>
        <w:t>1.2  El servicio y sus exigencias de ubicación</w:t>
      </w:r>
    </w:p>
    <w:p>
      <w:pPr>
        <w:spacing w:before="0" w:after="120" w:line="276" w:lineRule="auto"/>
        <w:jc w:val="both"/>
      </w:pPr>
      <w:r>
        <w:rPr>
          <w:b w:val="0"/>
          <w:i w:val="0"/>
          <w:sz w:val="22"/>
        </w:rPr>
        <w:t>El Hogar de Refugio Temporal brinda protección, albergue, alimentación y atención multidisciplinaria a mujeres víctimas de violencia en situación de riesgo de feminicidio, y a sus hijas e hijos, en el marco de la Ley N.° 30364 y su Reglamento. Por la naturaleza del servicio, su ubicación debe garantizar la seguridad de las residentes, la reserva del uso, un entorno tranquilo y no aislado, y la cercanía a los servicios de salud, seguridad y justicia. Al residir en él niñas y niños, debe además evitar las actividades e instalaciones que la normativa sectorial considera incompatibles con su permanencia.</w:t>
      </w:r>
    </w:p>
    <w:p>
      <w:pPr>
        <w:pStyle w:val="Heading2"/>
      </w:pPr>
      <w:r>
        <w:t>1.3  Ubicación del predio</w:t>
      </w:r>
    </w:p>
    <w:p>
      <w:pPr>
        <w:spacing w:before="0" w:after="120" w:line="276" w:lineRule="auto"/>
        <w:jc w:val="both"/>
      </w:pPr>
      <w:r>
        <w:rPr>
          <w:b w:val="0"/>
          <w:i w:val="0"/>
          <w:sz w:val="22"/>
        </w:rPr>
        <w:t>Predio rural Los Mangos, distrito de Morales, provincia y departamento de San Martín, con frente a la carretera Oasis y en el entorno urbano de Morales y Tarapoto. Coordenadas UTM referenciales (WGS84, zona 18 Sur): E 345 749, N 9 282 885.</w:t>
      </w:r>
    </w:p>
    <w:p>
      <w:pPr>
        <w:keepNext/>
        <w:spacing w:before="80" w:after="40" w:line="276" w:lineRule="auto"/>
        <w:jc w:val="center"/>
      </w:pPr>
      <w:r>
        <w:rPr>
          <w:b/>
          <w:i w:val="0"/>
          <w:sz w:val="20"/>
        </w:rPr>
        <w:t>Tabla N.° 01: Usos colindantes del predio</w:t>
      </w:r>
    </w:p>
    <w:tbl>
      <w:tblPr>
        <w:tblStyle w:val="TableGrid"/>
        <w:tblW w:type="auto" w:w="0"/>
        <w:jc w:val="center"/>
        <w:tblLayout w:type="fixed"/>
        <w:tblLook w:firstColumn="1" w:firstRow="1" w:lastColumn="0" w:lastRow="0" w:noHBand="0" w:noVBand="1" w:val="04A0"/>
      </w:tblPr>
      <w:tblGrid>
        <w:gridCol w:w="1814"/>
        <w:gridCol w:w="2494"/>
        <w:gridCol w:w="4762"/>
      </w:tblGrid>
      <w:tr>
        <w:trPr>
          <w:tblHeader w:val="true"/>
        </w:trPr>
        <w:tc>
          <w:tcPr>
            <w:tcW w:type="dxa" w:w="1814"/>
            <w:shd w:val="clear" w:color="auto" w:fill="7B1E2B"/>
            <w:vAlign w:val="center"/>
          </w:tcPr>
          <w:p>
            <w:pPr>
              <w:keepNext/>
              <w:spacing w:after="20" w:before="20"/>
              <w:jc w:val="center"/>
            </w:pPr>
            <w:r>
              <w:rPr>
                <w:b/>
                <w:i w:val="0"/>
                <w:color w:val="FFFFFF"/>
                <w:sz w:val="17"/>
              </w:rPr>
              <w:t>LADO</w:t>
            </w:r>
          </w:p>
        </w:tc>
        <w:tc>
          <w:tcPr>
            <w:tcW w:type="dxa" w:w="2494"/>
            <w:shd w:val="clear" w:color="auto" w:fill="7B1E2B"/>
            <w:vAlign w:val="center"/>
          </w:tcPr>
          <w:p>
            <w:pPr>
              <w:keepNext/>
              <w:spacing w:after="20" w:before="20"/>
              <w:jc w:val="center"/>
            </w:pPr>
            <w:r>
              <w:rPr>
                <w:b/>
                <w:i w:val="0"/>
                <w:color w:val="FFFFFF"/>
                <w:sz w:val="17"/>
              </w:rPr>
              <w:t>COLINDANTE</w:t>
            </w:r>
          </w:p>
        </w:tc>
        <w:tc>
          <w:tcPr>
            <w:tcW w:type="dxa" w:w="4762"/>
            <w:shd w:val="clear" w:color="auto" w:fill="7B1E2B"/>
            <w:vAlign w:val="center"/>
          </w:tcPr>
          <w:p>
            <w:pPr>
              <w:keepNext/>
              <w:spacing w:after="20" w:before="20"/>
              <w:jc w:val="center"/>
            </w:pPr>
            <w:r>
              <w:rPr>
                <w:b/>
                <w:i w:val="0"/>
                <w:color w:val="FFFFFF"/>
                <w:sz w:val="17"/>
              </w:rPr>
              <w:t>USO Y COMPATIBILIDAD</w:t>
            </w:r>
          </w:p>
        </w:tc>
      </w:tr>
      <w:tr>
        <w:tc>
          <w:tcPr>
            <w:tcW w:type="dxa" w:w="1814"/>
            <w:vAlign w:val="center"/>
          </w:tcPr>
          <w:p>
            <w:pPr>
              <w:keepNext/>
              <w:spacing w:after="20" w:before="20"/>
              <w:jc w:val="left"/>
            </w:pPr>
            <w:r>
              <w:rPr>
                <w:b w:val="0"/>
                <w:i w:val="0"/>
                <w:sz w:val="17"/>
              </w:rPr>
              <w:t>Frente</w:t>
            </w:r>
          </w:p>
        </w:tc>
        <w:tc>
          <w:tcPr>
            <w:tcW w:type="dxa" w:w="2494"/>
            <w:vAlign w:val="center"/>
          </w:tcPr>
          <w:p>
            <w:pPr>
              <w:keepNext/>
              <w:spacing w:after="20" w:before="20"/>
              <w:jc w:val="left"/>
            </w:pPr>
            <w:r>
              <w:rPr>
                <w:b w:val="0"/>
                <w:i w:val="0"/>
                <w:sz w:val="17"/>
              </w:rPr>
              <w:t>Carretera Oasis</w:t>
            </w:r>
          </w:p>
        </w:tc>
        <w:tc>
          <w:tcPr>
            <w:tcW w:type="dxa" w:w="4762"/>
            <w:vAlign w:val="center"/>
          </w:tcPr>
          <w:p>
            <w:pPr>
              <w:keepNext/>
              <w:spacing w:after="20" w:before="20"/>
              <w:jc w:val="left"/>
            </w:pPr>
            <w:r>
              <w:rPr>
                <w:b w:val="0"/>
                <w:i w:val="0"/>
                <w:sz w:val="17"/>
              </w:rPr>
              <w:t>Vía de acceso al predio; el cerco y el colector pluvial frontal quedan dentro del lindero.</w:t>
            </w:r>
          </w:p>
        </w:tc>
      </w:tr>
      <w:tr>
        <w:tc>
          <w:tcPr>
            <w:tcW w:type="dxa" w:w="1814"/>
            <w:vAlign w:val="center"/>
          </w:tcPr>
          <w:p>
            <w:pPr>
              <w:keepNext/>
              <w:spacing w:after="20" w:before="20"/>
              <w:jc w:val="left"/>
            </w:pPr>
            <w:r>
              <w:rPr>
                <w:b w:val="0"/>
                <w:i w:val="0"/>
                <w:sz w:val="17"/>
              </w:rPr>
              <w:t>Lateral (aguas arriba)</w:t>
            </w:r>
          </w:p>
        </w:tc>
        <w:tc>
          <w:tcPr>
            <w:tcW w:type="dxa" w:w="2494"/>
            <w:vAlign w:val="center"/>
          </w:tcPr>
          <w:p>
            <w:pPr>
              <w:keepNext/>
              <w:spacing w:after="20" w:before="20"/>
              <w:jc w:val="left"/>
            </w:pPr>
            <w:r>
              <w:rPr>
                <w:b w:val="0"/>
                <w:i w:val="0"/>
                <w:sz w:val="17"/>
              </w:rPr>
              <w:t>CAR Varones (CUI 2705619)</w:t>
            </w:r>
          </w:p>
        </w:tc>
        <w:tc>
          <w:tcPr>
            <w:tcW w:type="dxa" w:w="4762"/>
            <w:vAlign w:val="center"/>
          </w:tcPr>
          <w:p>
            <w:pPr>
              <w:keepNext/>
              <w:spacing w:after="20" w:before="20"/>
              <w:jc w:val="left"/>
            </w:pPr>
            <w:r>
              <w:rPr>
                <w:b w:val="0"/>
                <w:i w:val="0"/>
                <w:sz w:val="17"/>
              </w:rPr>
              <w:t>Servicio de protección a niñas, niños y adolescentes; uso compatible.</w:t>
            </w:r>
          </w:p>
        </w:tc>
      </w:tr>
      <w:tr>
        <w:tc>
          <w:tcPr>
            <w:tcW w:type="dxa" w:w="1814"/>
            <w:vAlign w:val="center"/>
          </w:tcPr>
          <w:p>
            <w:pPr>
              <w:spacing w:after="20" w:before="20"/>
              <w:jc w:val="left"/>
            </w:pPr>
            <w:r>
              <w:rPr>
                <w:b w:val="0"/>
                <w:i w:val="0"/>
                <w:sz w:val="17"/>
              </w:rPr>
              <w:t>Lateral (aguas abajo)</w:t>
            </w:r>
          </w:p>
        </w:tc>
        <w:tc>
          <w:tcPr>
            <w:tcW w:type="dxa" w:w="2494"/>
            <w:vAlign w:val="center"/>
          </w:tcPr>
          <w:p>
            <w:pPr>
              <w:spacing w:after="20" w:before="20"/>
              <w:jc w:val="left"/>
            </w:pPr>
            <w:r>
              <w:rPr>
                <w:b w:val="0"/>
                <w:i w:val="0"/>
                <w:sz w:val="17"/>
              </w:rPr>
              <w:t>CAR Mujeres (CUI 2717013)</w:t>
            </w:r>
          </w:p>
        </w:tc>
        <w:tc>
          <w:tcPr>
            <w:tcW w:type="dxa" w:w="4762"/>
            <w:vAlign w:val="center"/>
          </w:tcPr>
          <w:p>
            <w:pPr>
              <w:spacing w:after="20" w:before="20"/>
              <w:jc w:val="left"/>
            </w:pPr>
            <w:r>
              <w:rPr>
                <w:b w:val="0"/>
                <w:i w:val="0"/>
                <w:sz w:val="17"/>
              </w:rPr>
              <w:t>Servicio de protección a niñas, niños y adolescentes; uso compatible.</w:t>
            </w:r>
          </w:p>
        </w:tc>
      </w:tr>
    </w:tbl>
    <w:p>
      <w:pPr>
        <w:spacing w:before="0" w:after="160" w:line="276" w:lineRule="auto"/>
        <w:jc w:val="both"/>
      </w:pPr>
      <w:r>
        <w:rPr>
          <w:b w:val="0"/>
          <w:i/>
          <w:color w:val="595959"/>
          <w:sz w:val="18"/>
        </w:rPr>
        <w:t>Fuente: Elaboración propia.</w:t>
      </w:r>
    </w:p>
    <w:p>
      <w:pPr>
        <w:spacing w:before="0" w:after="120" w:line="276" w:lineRule="auto"/>
        <w:jc w:val="both"/>
      </w:pPr>
      <w:r>
        <w:rPr>
          <w:b w:val="0"/>
          <w:i w:val="0"/>
          <w:sz w:val="22"/>
        </w:rPr>
        <w:t>El predio forma parte de un conjunto de servicios de protección del Estado (CAR Varones, Hogar de Refugio Temporal y CAR Mujeres), usos de la misma naturaleza y compatibles entre sí.</w:t>
      </w:r>
    </w:p>
    <w:p>
      <w:pPr>
        <w:pStyle w:val="Heading1"/>
      </w:pPr>
      <w:r>
        <w:t>2.  MARCO NORMATIVO</w:t>
      </w:r>
    </w:p>
    <w:p>
      <w:pPr>
        <w:spacing w:before="0" w:after="120" w:line="276" w:lineRule="auto"/>
        <w:jc w:val="both"/>
      </w:pPr>
      <w:r>
        <w:rPr>
          <w:b w:val="0"/>
          <w:i w:val="0"/>
          <w:sz w:val="22"/>
        </w:rPr>
        <w:t>La ubicación del Hogar de Refugio Temporal se verifica con las normas asignadas al proyecto:</w:t>
      </w:r>
    </w:p>
    <w:p>
      <w:pPr>
        <w:keepNext/>
        <w:spacing w:before="80" w:after="40" w:line="276" w:lineRule="auto"/>
        <w:jc w:val="center"/>
      </w:pPr>
      <w:r>
        <w:rPr>
          <w:b/>
          <w:i w:val="0"/>
          <w:sz w:val="20"/>
        </w:rPr>
        <w:t>Tabla N.° 02: Normas que rigen la ubicación del proyecto</w:t>
      </w:r>
    </w:p>
    <w:tbl>
      <w:tblPr>
        <w:tblStyle w:val="TableGrid"/>
        <w:tblW w:type="auto" w:w="0"/>
        <w:jc w:val="center"/>
        <w:tblLayout w:type="fixed"/>
        <w:tblLook w:firstColumn="1" w:firstRow="1" w:lastColumn="0" w:lastRow="0" w:noHBand="0" w:noVBand="1" w:val="04A0"/>
      </w:tblPr>
      <w:tblGrid>
        <w:gridCol w:w="3175"/>
        <w:gridCol w:w="5896"/>
      </w:tblGrid>
      <w:tr>
        <w:trPr>
          <w:tblHeader w:val="true"/>
        </w:trPr>
        <w:tc>
          <w:tcPr>
            <w:tcW w:type="dxa" w:w="3175"/>
            <w:shd w:val="clear" w:color="auto" w:fill="7B1E2B"/>
            <w:vAlign w:val="center"/>
          </w:tcPr>
          <w:p>
            <w:pPr>
              <w:keepNext/>
              <w:spacing w:after="20" w:before="20"/>
              <w:jc w:val="center"/>
            </w:pPr>
            <w:r>
              <w:rPr>
                <w:b/>
                <w:i w:val="0"/>
                <w:color w:val="FFFFFF"/>
                <w:sz w:val="17"/>
              </w:rPr>
              <w:t>NORMA</w:t>
            </w:r>
          </w:p>
        </w:tc>
        <w:tc>
          <w:tcPr>
            <w:tcW w:type="dxa" w:w="5896"/>
            <w:shd w:val="clear" w:color="auto" w:fill="7B1E2B"/>
            <w:vAlign w:val="center"/>
          </w:tcPr>
          <w:p>
            <w:pPr>
              <w:keepNext/>
              <w:spacing w:after="20" w:before="20"/>
              <w:jc w:val="center"/>
            </w:pPr>
            <w:r>
              <w:rPr>
                <w:b/>
                <w:i w:val="0"/>
                <w:color w:val="FFFFFF"/>
                <w:sz w:val="17"/>
              </w:rPr>
              <w:t>DISPOSICIÓN</w:t>
            </w:r>
          </w:p>
        </w:tc>
      </w:tr>
      <w:tr>
        <w:tc>
          <w:tcPr>
            <w:tcW w:type="dxa" w:w="3175"/>
            <w:vAlign w:val="center"/>
          </w:tcPr>
          <w:p>
            <w:pPr>
              <w:keepNext/>
              <w:spacing w:after="20" w:before="20"/>
              <w:jc w:val="left"/>
            </w:pPr>
            <w:r>
              <w:rPr>
                <w:b w:val="0"/>
                <w:i w:val="0"/>
                <w:sz w:val="17"/>
              </w:rPr>
              <w:t>Ley N.° 30364 y su Reglamento (D.S. N.° 009-2016-MIMP y modificatorias)</w:t>
            </w:r>
          </w:p>
        </w:tc>
        <w:tc>
          <w:tcPr>
            <w:tcW w:type="dxa" w:w="5896"/>
            <w:vAlign w:val="center"/>
          </w:tcPr>
          <w:p>
            <w:pPr>
              <w:keepNext/>
              <w:spacing w:after="20" w:before="20"/>
              <w:jc w:val="left"/>
            </w:pPr>
            <w:r>
              <w:rPr>
                <w:b w:val="0"/>
                <w:i w:val="0"/>
                <w:sz w:val="17"/>
              </w:rPr>
              <w:t>Marco del servicio de Hogares de Refugio Temporal: protección, albergue y atención de mujeres víctimas de violencia y de sus hijas e hijos.</w:t>
            </w:r>
          </w:p>
        </w:tc>
      </w:tr>
      <w:tr>
        <w:tc>
          <w:tcPr>
            <w:tcW w:type="dxa" w:w="3175"/>
            <w:vAlign w:val="center"/>
          </w:tcPr>
          <w:p>
            <w:pPr>
              <w:keepNext/>
              <w:spacing w:after="20" w:before="20"/>
              <w:jc w:val="left"/>
            </w:pPr>
            <w:r>
              <w:rPr>
                <w:b w:val="0"/>
                <w:i w:val="0"/>
                <w:sz w:val="17"/>
              </w:rPr>
              <w:t>R.M. N.° 150-2016-MIMP</w:t>
            </w:r>
          </w:p>
        </w:tc>
        <w:tc>
          <w:tcPr>
            <w:tcW w:type="dxa" w:w="5896"/>
            <w:vAlign w:val="center"/>
          </w:tcPr>
          <w:p>
            <w:pPr>
              <w:keepNext/>
              <w:spacing w:after="20" w:before="20"/>
              <w:jc w:val="left"/>
            </w:pPr>
            <w:r>
              <w:rPr>
                <w:b w:val="0"/>
                <w:i w:val="0"/>
                <w:sz w:val="17"/>
              </w:rPr>
              <w:t>Lineamientos para la atención y funcionamiento de los Hogares de Refugio Temporal.</w:t>
            </w:r>
          </w:p>
        </w:tc>
      </w:tr>
      <w:tr>
        <w:tc>
          <w:tcPr>
            <w:tcW w:type="dxa" w:w="3175"/>
            <w:vAlign w:val="center"/>
          </w:tcPr>
          <w:p>
            <w:pPr>
              <w:keepNext/>
              <w:spacing w:after="20" w:before="20"/>
              <w:jc w:val="left"/>
            </w:pPr>
            <w:r>
              <w:rPr>
                <w:b w:val="0"/>
                <w:i w:val="0"/>
                <w:sz w:val="17"/>
              </w:rPr>
              <w:t>RNE, Norma A.090 Servicios Comunales, art. 3</w:t>
            </w:r>
          </w:p>
        </w:tc>
        <w:tc>
          <w:tcPr>
            <w:tcW w:type="dxa" w:w="5896"/>
            <w:vAlign w:val="center"/>
          </w:tcPr>
          <w:p>
            <w:pPr>
              <w:keepNext/>
              <w:spacing w:after="20" w:before="20"/>
              <w:jc w:val="left"/>
            </w:pPr>
            <w:r>
              <w:rPr>
                <w:b w:val="0"/>
                <w:i w:val="0"/>
                <w:sz w:val="17"/>
              </w:rPr>
              <w:t>Las edificaciones de servicios comunales se ubicarán en los lugares señalados en los Planes de Desarrollo Urbano, o en zonas compatibles con la zonificación vigente.</w:t>
            </w:r>
          </w:p>
        </w:tc>
      </w:tr>
      <w:tr>
        <w:tc>
          <w:tcPr>
            <w:tcW w:type="dxa" w:w="3175"/>
            <w:vAlign w:val="center"/>
          </w:tcPr>
          <w:p>
            <w:pPr>
              <w:keepNext/>
              <w:spacing w:after="20" w:before="20"/>
              <w:jc w:val="left"/>
            </w:pPr>
            <w:r>
              <w:rPr>
                <w:b w:val="0"/>
                <w:i w:val="0"/>
                <w:sz w:val="17"/>
              </w:rPr>
              <w:t>RNE, Norma A.090, art. 4</w:t>
            </w:r>
          </w:p>
        </w:tc>
        <w:tc>
          <w:tcPr>
            <w:tcW w:type="dxa" w:w="5896"/>
            <w:vAlign w:val="center"/>
          </w:tcPr>
          <w:p>
            <w:pPr>
              <w:keepNext/>
              <w:spacing w:after="20" w:before="20"/>
              <w:jc w:val="left"/>
            </w:pPr>
            <w:r>
              <w:rPr>
                <w:b w:val="0"/>
                <w:i w:val="0"/>
                <w:sz w:val="17"/>
              </w:rPr>
              <w:t>Los proyectos que supongan una concentración de público de más de 500 personas deberán contar con un estudio de impacto vial.</w:t>
            </w:r>
          </w:p>
        </w:tc>
      </w:tr>
      <w:tr>
        <w:tc>
          <w:tcPr>
            <w:tcW w:type="dxa" w:w="3175"/>
            <w:vAlign w:val="center"/>
          </w:tcPr>
          <w:p>
            <w:pPr>
              <w:keepNext/>
              <w:spacing w:after="20" w:before="20"/>
              <w:jc w:val="left"/>
            </w:pPr>
            <w:r>
              <w:rPr>
                <w:b w:val="0"/>
                <w:i w:val="0"/>
                <w:sz w:val="17"/>
              </w:rPr>
              <w:t>RNE, Norma A.040 Educación (R.M. N.° 068-2020-VIVIENDA), art. 7 b)</w:t>
            </w:r>
          </w:p>
        </w:tc>
        <w:tc>
          <w:tcPr>
            <w:tcW w:type="dxa" w:w="5896"/>
            <w:vAlign w:val="center"/>
          </w:tcPr>
          <w:p>
            <w:pPr>
              <w:keepNext/>
              <w:spacing w:after="20" w:before="20"/>
              <w:jc w:val="left"/>
            </w:pPr>
            <w:r>
              <w:rPr>
                <w:b w:val="0"/>
                <w:i w:val="0"/>
                <w:sz w:val="17"/>
              </w:rPr>
              <w:t>Ubicación evitando las incompatibilidades de uso establecidas en la normativa vigente y/o adoptar las alternativas de solución, respecto de su ubicación. Se aplica a los ambientes educativos del hogar (módulo infantil y módulo de enseñanza).</w:t>
            </w:r>
          </w:p>
        </w:tc>
      </w:tr>
      <w:tr>
        <w:tc>
          <w:tcPr>
            <w:tcW w:type="dxa" w:w="3175"/>
            <w:vAlign w:val="center"/>
          </w:tcPr>
          <w:p>
            <w:pPr>
              <w:keepNext/>
              <w:spacing w:after="20" w:before="20"/>
              <w:jc w:val="left"/>
            </w:pPr>
            <w:r>
              <w:rPr>
                <w:b w:val="0"/>
                <w:i w:val="0"/>
                <w:sz w:val="17"/>
              </w:rPr>
              <w:t>R.V.M. N.° 010-2022-MINEDU, Norma Técnica "Criterios Generales de Diseño para Infraestructura Educativa"</w:t>
            </w:r>
          </w:p>
        </w:tc>
        <w:tc>
          <w:tcPr>
            <w:tcW w:type="dxa" w:w="5896"/>
            <w:vAlign w:val="center"/>
          </w:tcPr>
          <w:p>
            <w:pPr>
              <w:keepNext/>
              <w:spacing w:after="20" w:before="20"/>
              <w:jc w:val="left"/>
            </w:pPr>
            <w:r>
              <w:rPr>
                <w:b w:val="0"/>
                <w:i w:val="0"/>
                <w:sz w:val="17"/>
              </w:rPr>
              <w:t>Cuadro de incompatibilidades de uso del terreno, que reúne los dispositivos legales sectoriales y sus distancias; se adopta como lista de verificación.</w:t>
            </w:r>
          </w:p>
        </w:tc>
      </w:tr>
      <w:tr>
        <w:tc>
          <w:tcPr>
            <w:tcW w:type="dxa" w:w="3175"/>
            <w:vAlign w:val="center"/>
          </w:tcPr>
          <w:p>
            <w:pPr>
              <w:keepNext/>
              <w:spacing w:after="20" w:before="20"/>
              <w:jc w:val="left"/>
            </w:pPr>
            <w:r>
              <w:rPr>
                <w:b w:val="0"/>
                <w:i w:val="0"/>
                <w:sz w:val="17"/>
              </w:rPr>
              <w:t>R.V.M. N.° 208-2019-MINEDU, art. 8 c)</w:t>
            </w:r>
          </w:p>
        </w:tc>
        <w:tc>
          <w:tcPr>
            <w:tcW w:type="dxa" w:w="5896"/>
            <w:vAlign w:val="center"/>
          </w:tcPr>
          <w:p>
            <w:pPr>
              <w:keepNext/>
              <w:spacing w:after="20" w:before="20"/>
              <w:jc w:val="left"/>
            </w:pPr>
            <w:r>
              <w:rPr>
                <w:b w:val="0"/>
                <w:i w:val="0"/>
                <w:sz w:val="17"/>
              </w:rPr>
              <w:t>Para la adecuada selección del terreno se deben tomar en cuenta las condiciones del terreno, así como su disponibilidad, establecidas en la N.T. Criterios Generales.</w:t>
            </w:r>
          </w:p>
        </w:tc>
      </w:tr>
      <w:tr>
        <w:tc>
          <w:tcPr>
            <w:tcW w:type="dxa" w:w="3175"/>
            <w:vAlign w:val="center"/>
          </w:tcPr>
          <w:p>
            <w:pPr>
              <w:spacing w:after="20" w:before="20"/>
              <w:jc w:val="left"/>
            </w:pPr>
            <w:r>
              <w:rPr>
                <w:b w:val="0"/>
                <w:i w:val="0"/>
                <w:sz w:val="17"/>
              </w:rPr>
              <w:t>Lineamientos ONU-Habitat / CONAVIM (2016), numeral 2.1</w:t>
            </w:r>
          </w:p>
        </w:tc>
        <w:tc>
          <w:tcPr>
            <w:tcW w:type="dxa" w:w="5896"/>
            <w:vAlign w:val="center"/>
          </w:tcPr>
          <w:p>
            <w:pPr>
              <w:spacing w:after="20" w:before="20"/>
              <w:jc w:val="left"/>
            </w:pPr>
            <w:r>
              <w:rPr>
                <w:b w:val="0"/>
                <w:i w:val="0"/>
                <w:sz w:val="17"/>
              </w:rPr>
              <w:t>Ubicación en una zona tranquila, no aislada, con servicios e instituciones de apoyo cercanos, alumbrado público, transporte público y accesos alternativos; numerales 2.2 a 2.8: recinto cercado, reserva del uso, seguridad, accesos y servicios básicos.</w:t>
            </w:r>
          </w:p>
        </w:tc>
      </w:tr>
    </w:tbl>
    <w:p>
      <w:pPr>
        <w:spacing w:before="0" w:after="160" w:line="276" w:lineRule="auto"/>
        <w:jc w:val="both"/>
      </w:pPr>
      <w:r>
        <w:rPr>
          <w:b w:val="0"/>
          <w:i/>
          <w:color w:val="595959"/>
          <w:sz w:val="18"/>
        </w:rPr>
        <w:t>Fuente: Elaboración propia.</w:t>
      </w:r>
    </w:p>
    <w:p>
      <w:pPr>
        <w:spacing w:before="0" w:after="120" w:line="276" w:lineRule="auto"/>
        <w:jc w:val="both"/>
      </w:pPr>
      <w:r>
        <w:rPr>
          <w:b w:val="0"/>
          <w:i w:val="0"/>
          <w:sz w:val="22"/>
        </w:rPr>
        <w:t>No existe una relación de incompatibilidades de uso propia de los hogares de refugio. Por ello se toma la relación de dispositivos legales sectoriales que reúne la N.T. Criterios Generales de Diseño (R.V.M. N.° 010-2022-MINEDU), a la que remiten la Norma A.040 y la R.V.M. N.° 208-2019-MINEDU para los locales con permanencia de niñas y niños, y se complementa con las condiciones de ubicación que los lineamientos para refugios establecen para este servicio.</w:t>
      </w:r>
    </w:p>
    <w:p>
      <w:pPr>
        <w:pStyle w:val="Heading1"/>
      </w:pPr>
      <w:r>
        <w:t>3.  METODOLOGÍA</w:t>
      </w:r>
    </w:p>
    <w:p>
      <w:pPr>
        <w:spacing w:before="0" w:after="60" w:line="276" w:lineRule="auto"/>
        <w:ind w:left="510" w:hanging="255"/>
        <w:jc w:val="both"/>
      </w:pPr>
      <w:r>
        <w:rPr>
          <w:b w:val="0"/>
          <w:i w:val="0"/>
        </w:rPr>
        <w:t>•  Incompatibilidades por cercanía (Cuadro N.° 1): se define el área de influencia del predio como la franja medida desde el lindero con la distancia que fija cada dispositivo legal: 50 m (estaciones de servicio), 100 m (establecimientos de salud, GLP, bebidas alcohólicas y plantas de combustibles), 150 m (velatorios y cementerios) y 200 m (ductos de hidrocarburos). Para las que no tienen distancia fija (fajas marginales, servidumbres eléctricas, aeródromos, vías, restricciones radioeléctricas y usos regulados por la municipalidad) se verifica que la restricción no alcance al predio.</w:t>
      </w:r>
    </w:p>
    <w:p>
      <w:pPr>
        <w:spacing w:before="0" w:after="60" w:line="276" w:lineRule="auto"/>
        <w:ind w:left="510" w:hanging="255"/>
        <w:jc w:val="both"/>
      </w:pPr>
      <w:r>
        <w:rPr>
          <w:b w:val="0"/>
          <w:i w:val="0"/>
        </w:rPr>
        <w:t>•  Condiciones propias del hogar (Cuadro N.° 2): se verifica cada condición de ubicación de los lineamientos y del RNE con las características del predio y del programa arquitectónico.</w:t>
      </w:r>
    </w:p>
    <w:p>
      <w:pPr>
        <w:spacing w:before="0" w:after="60" w:line="276" w:lineRule="auto"/>
        <w:ind w:left="510" w:hanging="255"/>
        <w:jc w:val="both"/>
      </w:pPr>
      <w:r>
        <w:rPr>
          <w:b w:val="0"/>
          <w:i w:val="0"/>
        </w:rPr>
        <w:t>•  Se reconoce el entorno del predio y se revisa la cartografía y las imágenes satelitales de la zona.</w:t>
      </w:r>
    </w:p>
    <w:p>
      <w:pPr>
        <w:spacing w:before="0" w:after="60" w:line="276" w:lineRule="auto"/>
        <w:ind w:left="510" w:hanging="255"/>
        <w:jc w:val="both"/>
      </w:pPr>
      <w:r>
        <w:rPr>
          <w:b w:val="0"/>
          <w:i w:val="0"/>
        </w:rPr>
        <w:t>•  Cada punto se califica como CUMPLE cuando la actividad o restricción no existe dentro del área de influencia, o cuando el predio y el proyecto satisfacen la condición.</w:t>
      </w:r>
    </w:p>
    <w:p>
      <w:pPr>
        <w:sectPr>
          <w:headerReference w:type="default" r:id="rId11"/>
          <w:footerReference w:type="default" r:id="rId12"/>
          <w:pgSz w:w="11906" w:h="16838"/>
          <w:pgMar w:top="1417" w:right="1134" w:bottom="1134" w:left="1701" w:header="720" w:footer="720" w:gutter="0"/>
          <w:cols w:space="720"/>
          <w:docGrid w:linePitch="360"/>
          <w:pgNumType w:start="1"/>
        </w:sectPr>
      </w:pPr>
    </w:p>
    <w:p>
      <w:pPr>
        <w:pStyle w:val="Heading1"/>
      </w:pPr>
      <w:r>
        <w:t>4.  INCOMPATIBILIDADES DE UBICACIÓN POR CERCANÍA</w:t>
      </w:r>
    </w:p>
    <w:p>
      <w:pPr>
        <w:keepNext/>
        <w:spacing w:before="80" w:after="40" w:line="276" w:lineRule="auto"/>
        <w:jc w:val="center"/>
      </w:pPr>
      <w:r>
        <w:rPr>
          <w:b/>
          <w:i w:val="0"/>
          <w:sz w:val="20"/>
        </w:rPr>
        <w:t>Tabla N.° 03: Cuadro N.° 1: incompatibilidades de uso del terreno por cercanía - Hogar de Refugio Temporal (relación de la R.V.M. N.° 010-2022-MINEDU)</w:t>
      </w:r>
    </w:p>
    <w:tbl>
      <w:tblPr>
        <w:tblStyle w:val="TableGrid"/>
        <w:tblW w:type="auto" w:w="0"/>
        <w:jc w:val="center"/>
        <w:tblLayout w:type="fixed"/>
        <w:tblLook w:firstColumn="1" w:firstRow="1" w:lastColumn="0" w:lastRow="0" w:noHBand="0" w:noVBand="1" w:val="04A0"/>
      </w:tblPr>
      <w:tblGrid>
        <w:gridCol w:w="510"/>
        <w:gridCol w:w="2835"/>
        <w:gridCol w:w="4309"/>
        <w:gridCol w:w="1701"/>
        <w:gridCol w:w="4252"/>
        <w:gridCol w:w="963"/>
      </w:tblGrid>
      <w:tr>
        <w:trPr>
          <w:tblHeader w:val="true"/>
          <w:cantSplit/>
        </w:trPr>
        <w:tc>
          <w:tcPr>
            <w:tcW w:type="dxa" w:w="510"/>
            <w:shd w:val="clear" w:color="auto" w:fill="7B1E2B"/>
            <w:vAlign w:val="center"/>
          </w:tcPr>
          <w:p>
            <w:pPr>
              <w:spacing w:after="20" w:before="20"/>
              <w:jc w:val="center"/>
            </w:pPr>
            <w:r>
              <w:rPr>
                <w:b/>
                <w:i w:val="0"/>
                <w:color w:val="FFFFFF"/>
                <w:sz w:val="16"/>
              </w:rPr>
              <w:t>N.°</w:t>
            </w:r>
          </w:p>
        </w:tc>
        <w:tc>
          <w:tcPr>
            <w:tcW w:type="dxa" w:w="2835"/>
            <w:shd w:val="clear" w:color="auto" w:fill="7B1E2B"/>
            <w:vAlign w:val="center"/>
          </w:tcPr>
          <w:p>
            <w:pPr>
              <w:spacing w:after="20" w:before="20"/>
              <w:jc w:val="center"/>
            </w:pPr>
            <w:r>
              <w:rPr>
                <w:b/>
                <w:i w:val="0"/>
                <w:color w:val="FFFFFF"/>
                <w:sz w:val="16"/>
              </w:rPr>
              <w:t>INCOMPATIBILIDAD POR CERCANÍA</w:t>
            </w:r>
          </w:p>
        </w:tc>
        <w:tc>
          <w:tcPr>
            <w:tcW w:type="dxa" w:w="4309"/>
            <w:shd w:val="clear" w:color="auto" w:fill="7B1E2B"/>
            <w:vAlign w:val="center"/>
          </w:tcPr>
          <w:p>
            <w:pPr>
              <w:spacing w:after="20" w:before="20"/>
              <w:jc w:val="center"/>
            </w:pPr>
            <w:r>
              <w:rPr>
                <w:b/>
                <w:i w:val="0"/>
                <w:color w:val="FFFFFF"/>
                <w:sz w:val="16"/>
              </w:rPr>
              <w:t>DISPOSITIVO LEGAL</w:t>
            </w:r>
          </w:p>
        </w:tc>
        <w:tc>
          <w:tcPr>
            <w:tcW w:type="dxa" w:w="1701"/>
            <w:shd w:val="clear" w:color="auto" w:fill="7B1E2B"/>
            <w:vAlign w:val="center"/>
          </w:tcPr>
          <w:p>
            <w:pPr>
              <w:spacing w:after="20" w:before="20"/>
              <w:jc w:val="center"/>
            </w:pPr>
            <w:r>
              <w:rPr>
                <w:b/>
                <w:i w:val="0"/>
                <w:color w:val="FFFFFF"/>
                <w:sz w:val="16"/>
              </w:rPr>
              <w:t>DISTANCIA O CRITERIO</w:t>
            </w:r>
          </w:p>
        </w:tc>
        <w:tc>
          <w:tcPr>
            <w:tcW w:type="dxa" w:w="4252"/>
            <w:shd w:val="clear" w:color="auto" w:fill="7B1E2B"/>
            <w:vAlign w:val="center"/>
          </w:tcPr>
          <w:p>
            <w:pPr>
              <w:spacing w:after="20" w:before="20"/>
              <w:jc w:val="center"/>
            </w:pPr>
            <w:r>
              <w:rPr>
                <w:b/>
                <w:i w:val="0"/>
                <w:color w:val="FFFFFF"/>
                <w:sz w:val="16"/>
              </w:rPr>
              <w:t>CONDICIÓN DEL PREDIO</w:t>
            </w:r>
          </w:p>
        </w:tc>
        <w:tc>
          <w:tcPr>
            <w:tcW w:type="dxa" w:w="964"/>
            <w:shd w:val="clear" w:color="auto" w:fill="7B1E2B"/>
            <w:vAlign w:val="center"/>
          </w:tcPr>
          <w:p>
            <w:pPr>
              <w:spacing w:after="20" w:before="20"/>
              <w:jc w:val="center"/>
            </w:pPr>
            <w:r>
              <w:rPr>
                <w:b/>
                <w:i w:val="0"/>
                <w:color w:val="FFFFFF"/>
                <w:sz w:val="16"/>
              </w:rPr>
              <w:t>ESTADO</w:t>
            </w:r>
          </w:p>
        </w:tc>
      </w:tr>
      <w:tr>
        <w:trPr>
          <w:cantSplit/>
        </w:trPr>
        <w:tc>
          <w:tcPr>
            <w:tcW w:type="dxa" w:w="510"/>
            <w:vAlign w:val="center"/>
          </w:tcPr>
          <w:p>
            <w:pPr>
              <w:spacing w:after="20" w:before="20"/>
              <w:jc w:val="center"/>
            </w:pPr>
            <w:r>
              <w:rPr>
                <w:b w:val="0"/>
                <w:i w:val="0"/>
                <w:sz w:val="16"/>
              </w:rPr>
              <w:t>1</w:t>
            </w:r>
          </w:p>
        </w:tc>
        <w:tc>
          <w:tcPr>
            <w:tcW w:type="dxa" w:w="2835"/>
            <w:vAlign w:val="center"/>
          </w:tcPr>
          <w:p>
            <w:pPr>
              <w:spacing w:after="20" w:before="20"/>
              <w:jc w:val="left"/>
            </w:pPr>
            <w:r>
              <w:rPr>
                <w:b w:val="0"/>
                <w:i w:val="0"/>
                <w:sz w:val="16"/>
              </w:rPr>
              <w:t>Velatorios y cementerios</w:t>
            </w:r>
          </w:p>
        </w:tc>
        <w:tc>
          <w:tcPr>
            <w:tcW w:type="dxa" w:w="4309"/>
            <w:vAlign w:val="center"/>
          </w:tcPr>
          <w:p>
            <w:pPr>
              <w:spacing w:after="20" w:before="20"/>
              <w:jc w:val="left"/>
            </w:pPr>
            <w:r>
              <w:rPr>
                <w:b w:val="0"/>
                <w:i w:val="0"/>
                <w:sz w:val="16"/>
              </w:rPr>
              <w:t>D.S. N.° 003-94-SA, Reglamento de la Ley de Cementerios y Servicios Funerarios</w:t>
            </w:r>
          </w:p>
        </w:tc>
        <w:tc>
          <w:tcPr>
            <w:tcW w:type="dxa" w:w="1701"/>
            <w:vAlign w:val="center"/>
          </w:tcPr>
          <w:p>
            <w:pPr>
              <w:spacing w:after="20" w:before="20"/>
              <w:jc w:val="left"/>
            </w:pPr>
            <w:r>
              <w:rPr>
                <w:b w:val="0"/>
                <w:i w:val="0"/>
                <w:sz w:val="16"/>
              </w:rPr>
              <w:t>No menor de 150 m</w:t>
            </w:r>
          </w:p>
        </w:tc>
        <w:tc>
          <w:tcPr>
            <w:tcW w:type="dxa" w:w="4252"/>
            <w:vAlign w:val="center"/>
          </w:tcPr>
          <w:p>
            <w:pPr>
              <w:spacing w:after="20" w:before="20"/>
              <w:jc w:val="left"/>
            </w:pPr>
            <w:r>
              <w:rPr>
                <w:b w:val="0"/>
                <w:i w:val="0"/>
                <w:sz w:val="16"/>
              </w:rPr>
              <w:t>No existen velatorios ni cementerios a menos de 150 m del predio.</w:t>
            </w:r>
          </w:p>
        </w:tc>
        <w:tc>
          <w:tcPr>
            <w:tcW w:type="dxa" w:w="964"/>
            <w:vAlign w:val="center"/>
          </w:tcPr>
          <w:p>
            <w:pPr>
              <w:spacing w:after="20" w:before="20"/>
              <w:jc w:val="center"/>
            </w:pPr>
            <w:r>
              <w:rPr>
                <w:b w:val="0"/>
                <w:i w:val="0"/>
                <w:sz w:val="16"/>
              </w:rPr>
              <w:t>CUMPLE</w:t>
            </w:r>
          </w:p>
        </w:tc>
      </w:tr>
      <w:tr>
        <w:trPr>
          <w:cantSplit/>
        </w:trPr>
        <w:tc>
          <w:tcPr>
            <w:tcW w:type="dxa" w:w="510"/>
            <w:vAlign w:val="center"/>
          </w:tcPr>
          <w:p>
            <w:pPr>
              <w:spacing w:after="20" w:before="20"/>
              <w:jc w:val="center"/>
            </w:pPr>
            <w:r>
              <w:rPr>
                <w:b w:val="0"/>
                <w:i w:val="0"/>
                <w:sz w:val="16"/>
              </w:rPr>
              <w:t>2</w:t>
            </w:r>
          </w:p>
        </w:tc>
        <w:tc>
          <w:tcPr>
            <w:tcW w:type="dxa" w:w="2835"/>
            <w:vAlign w:val="center"/>
          </w:tcPr>
          <w:p>
            <w:pPr>
              <w:spacing w:after="20" w:before="20"/>
              <w:jc w:val="left"/>
            </w:pPr>
            <w:r>
              <w:rPr>
                <w:b w:val="0"/>
                <w:i w:val="0"/>
                <w:sz w:val="16"/>
              </w:rPr>
              <w:t>Establecimientos de salud</w:t>
            </w:r>
          </w:p>
        </w:tc>
        <w:tc>
          <w:tcPr>
            <w:tcW w:type="dxa" w:w="4309"/>
            <w:vAlign w:val="center"/>
          </w:tcPr>
          <w:p>
            <w:pPr>
              <w:spacing w:after="20" w:before="20"/>
              <w:jc w:val="left"/>
            </w:pPr>
            <w:r>
              <w:rPr>
                <w:b w:val="0"/>
                <w:i w:val="0"/>
                <w:sz w:val="16"/>
              </w:rPr>
              <w:t>R.M. N.° 045-2015/MINSA, NTS N.° 113-MINSA/DGIEM-V.01 "Infraestructura y equipamiento de los establecimientos de salud del Primer Nivel de Atención", y R.M. N.° 862-2015/MINSA, NTS N.° 119-MINSA/DGIEM-V.01 "Infraestructura y equipamiento de los establecimientos de salud del Tercer Nivel de Atención"</w:t>
            </w:r>
          </w:p>
        </w:tc>
        <w:tc>
          <w:tcPr>
            <w:tcW w:type="dxa" w:w="1701"/>
            <w:vAlign w:val="center"/>
          </w:tcPr>
          <w:p>
            <w:pPr>
              <w:spacing w:after="20" w:before="20"/>
              <w:jc w:val="left"/>
            </w:pPr>
            <w:r>
              <w:rPr>
                <w:b w:val="0"/>
                <w:i w:val="0"/>
                <w:sz w:val="16"/>
              </w:rPr>
              <w:t>No menor de 100 m</w:t>
            </w:r>
          </w:p>
        </w:tc>
        <w:tc>
          <w:tcPr>
            <w:tcW w:type="dxa" w:w="4252"/>
            <w:vAlign w:val="center"/>
          </w:tcPr>
          <w:p>
            <w:pPr>
              <w:spacing w:after="20" w:before="20"/>
              <w:jc w:val="left"/>
            </w:pPr>
            <w:r>
              <w:rPr>
                <w:b w:val="0"/>
                <w:i w:val="0"/>
                <w:sz w:val="16"/>
              </w:rPr>
              <w:t>El establecimiento de salud de la localidad se encuentra a más de 100 m del predio y forma parte de los servicios de apoyo cercanos que requiere el hogar.</w:t>
            </w:r>
          </w:p>
        </w:tc>
        <w:tc>
          <w:tcPr>
            <w:tcW w:type="dxa" w:w="964"/>
            <w:vAlign w:val="center"/>
          </w:tcPr>
          <w:p>
            <w:pPr>
              <w:spacing w:after="20" w:before="20"/>
              <w:jc w:val="center"/>
            </w:pPr>
            <w:r>
              <w:rPr>
                <w:b w:val="0"/>
                <w:i w:val="0"/>
                <w:sz w:val="16"/>
              </w:rPr>
              <w:t>CUMPLE</w:t>
            </w:r>
          </w:p>
        </w:tc>
      </w:tr>
      <w:tr>
        <w:trPr>
          <w:cantSplit/>
        </w:trPr>
        <w:tc>
          <w:tcPr>
            <w:tcW w:type="dxa" w:w="510"/>
            <w:vAlign w:val="center"/>
          </w:tcPr>
          <w:p>
            <w:pPr>
              <w:spacing w:after="20" w:before="20"/>
              <w:jc w:val="center"/>
            </w:pPr>
            <w:r>
              <w:rPr>
                <w:b w:val="0"/>
                <w:i w:val="0"/>
                <w:sz w:val="16"/>
              </w:rPr>
              <w:t>3</w:t>
            </w:r>
          </w:p>
        </w:tc>
        <w:tc>
          <w:tcPr>
            <w:tcW w:type="dxa" w:w="2835"/>
            <w:vAlign w:val="center"/>
          </w:tcPr>
          <w:p>
            <w:pPr>
              <w:spacing w:after="20" w:before="20"/>
              <w:jc w:val="left"/>
            </w:pPr>
            <w:r>
              <w:rPr>
                <w:b w:val="0"/>
                <w:i w:val="0"/>
                <w:sz w:val="16"/>
              </w:rPr>
              <w:t>Plantas envasadoras de gas licuado de petróleo (GLP)</w:t>
            </w:r>
          </w:p>
        </w:tc>
        <w:tc>
          <w:tcPr>
            <w:tcW w:type="dxa" w:w="4309"/>
            <w:vAlign w:val="center"/>
          </w:tcPr>
          <w:p>
            <w:pPr>
              <w:spacing w:after="20" w:before="20"/>
              <w:jc w:val="left"/>
            </w:pPr>
            <w:r>
              <w:rPr>
                <w:b w:val="0"/>
                <w:i w:val="0"/>
                <w:sz w:val="16"/>
              </w:rPr>
              <w:t>D.S. N.° 027-94-EM, Reglamento de Seguridad para Instalaciones y Transporte de Gas Licuado de Petróleo</w:t>
            </w:r>
          </w:p>
        </w:tc>
        <w:tc>
          <w:tcPr>
            <w:tcW w:type="dxa" w:w="1701"/>
            <w:vAlign w:val="center"/>
          </w:tcPr>
          <w:p>
            <w:pPr>
              <w:spacing w:after="20" w:before="20"/>
              <w:jc w:val="left"/>
            </w:pPr>
            <w:r>
              <w:rPr>
                <w:b w:val="0"/>
                <w:i w:val="0"/>
                <w:sz w:val="16"/>
              </w:rPr>
              <w:t>No menor de 100 m</w:t>
            </w:r>
          </w:p>
        </w:tc>
        <w:tc>
          <w:tcPr>
            <w:tcW w:type="dxa" w:w="4252"/>
            <w:vAlign w:val="center"/>
          </w:tcPr>
          <w:p>
            <w:pPr>
              <w:spacing w:after="20" w:before="20"/>
              <w:jc w:val="left"/>
            </w:pPr>
            <w:r>
              <w:rPr>
                <w:b w:val="0"/>
                <w:i w:val="0"/>
                <w:sz w:val="16"/>
              </w:rPr>
              <w:t>No existen plantas envasadoras de GLP en el entorno del predio.</w:t>
            </w:r>
          </w:p>
        </w:tc>
        <w:tc>
          <w:tcPr>
            <w:tcW w:type="dxa" w:w="964"/>
            <w:vAlign w:val="center"/>
          </w:tcPr>
          <w:p>
            <w:pPr>
              <w:spacing w:after="20" w:before="20"/>
              <w:jc w:val="center"/>
            </w:pPr>
            <w:r>
              <w:rPr>
                <w:b w:val="0"/>
                <w:i w:val="0"/>
                <w:sz w:val="16"/>
              </w:rPr>
              <w:t>CUMPLE</w:t>
            </w:r>
          </w:p>
        </w:tc>
      </w:tr>
      <w:tr>
        <w:trPr>
          <w:cantSplit/>
        </w:trPr>
        <w:tc>
          <w:tcPr>
            <w:tcW w:type="dxa" w:w="510"/>
            <w:vAlign w:val="center"/>
          </w:tcPr>
          <w:p>
            <w:pPr>
              <w:spacing w:after="20" w:before="20"/>
              <w:jc w:val="center"/>
            </w:pPr>
            <w:r>
              <w:rPr>
                <w:b w:val="0"/>
                <w:i w:val="0"/>
                <w:sz w:val="16"/>
              </w:rPr>
              <w:t>4</w:t>
            </w:r>
          </w:p>
        </w:tc>
        <w:tc>
          <w:tcPr>
            <w:tcW w:type="dxa" w:w="2835"/>
            <w:vAlign w:val="center"/>
          </w:tcPr>
          <w:p>
            <w:pPr>
              <w:spacing w:after="20" w:before="20"/>
              <w:jc w:val="left"/>
            </w:pPr>
            <w:r>
              <w:rPr>
                <w:b w:val="0"/>
                <w:i w:val="0"/>
                <w:sz w:val="16"/>
              </w:rPr>
              <w:t>Estaciones de servicio, puestos de venta de combustibles (grifos), gasocentros y establecimientos de venta al público de GNV</w:t>
            </w:r>
          </w:p>
        </w:tc>
        <w:tc>
          <w:tcPr>
            <w:tcW w:type="dxa" w:w="4309"/>
            <w:vAlign w:val="center"/>
          </w:tcPr>
          <w:p>
            <w:pPr>
              <w:spacing w:after="20" w:before="20"/>
              <w:jc w:val="left"/>
            </w:pPr>
            <w:r>
              <w:rPr>
                <w:b w:val="0"/>
                <w:i w:val="0"/>
                <w:sz w:val="16"/>
              </w:rPr>
              <w:t>D.S. N.° 054-93-EM (modificado por el D.S. N.° 037-2007-EM), Reglamento de Seguridad para Establecimientos de Venta al Público de Combustibles Derivados de Hidrocarburos</w:t>
            </w:r>
          </w:p>
        </w:tc>
        <w:tc>
          <w:tcPr>
            <w:tcW w:type="dxa" w:w="1701"/>
            <w:vAlign w:val="center"/>
          </w:tcPr>
          <w:p>
            <w:pPr>
              <w:spacing w:after="20" w:before="20"/>
              <w:jc w:val="left"/>
            </w:pPr>
            <w:r>
              <w:rPr>
                <w:b w:val="0"/>
                <w:i w:val="0"/>
                <w:sz w:val="16"/>
              </w:rPr>
              <w:t>No menor de 50 m</w:t>
            </w:r>
          </w:p>
        </w:tc>
        <w:tc>
          <w:tcPr>
            <w:tcW w:type="dxa" w:w="4252"/>
            <w:vAlign w:val="center"/>
          </w:tcPr>
          <w:p>
            <w:pPr>
              <w:spacing w:after="20" w:before="20"/>
              <w:jc w:val="left"/>
            </w:pPr>
            <w:r>
              <w:rPr>
                <w:b w:val="0"/>
                <w:i w:val="0"/>
                <w:sz w:val="16"/>
              </w:rPr>
              <w:t>No existen estaciones de servicio, grifos ni gasocentros a menos de 50 m del predio.</w:t>
            </w:r>
          </w:p>
        </w:tc>
        <w:tc>
          <w:tcPr>
            <w:tcW w:type="dxa" w:w="964"/>
            <w:vAlign w:val="center"/>
          </w:tcPr>
          <w:p>
            <w:pPr>
              <w:spacing w:after="20" w:before="20"/>
              <w:jc w:val="center"/>
            </w:pPr>
            <w:r>
              <w:rPr>
                <w:b w:val="0"/>
                <w:i w:val="0"/>
                <w:sz w:val="16"/>
              </w:rPr>
              <w:t>CUMPLE</w:t>
            </w:r>
          </w:p>
        </w:tc>
      </w:tr>
      <w:tr>
        <w:trPr>
          <w:cantSplit/>
        </w:trPr>
        <w:tc>
          <w:tcPr>
            <w:tcW w:type="dxa" w:w="510"/>
            <w:vAlign w:val="center"/>
          </w:tcPr>
          <w:p>
            <w:pPr>
              <w:spacing w:after="20" w:before="20"/>
              <w:jc w:val="center"/>
            </w:pPr>
            <w:r>
              <w:rPr>
                <w:b w:val="0"/>
                <w:i w:val="0"/>
                <w:sz w:val="16"/>
              </w:rPr>
              <w:t>5</w:t>
            </w:r>
          </w:p>
        </w:tc>
        <w:tc>
          <w:tcPr>
            <w:tcW w:type="dxa" w:w="2835"/>
            <w:vAlign w:val="center"/>
          </w:tcPr>
          <w:p>
            <w:pPr>
              <w:spacing w:after="20" w:before="20"/>
              <w:jc w:val="left"/>
            </w:pPr>
            <w:r>
              <w:rPr>
                <w:b w:val="0"/>
                <w:i w:val="0"/>
                <w:sz w:val="16"/>
              </w:rPr>
              <w:t>Locales de comercialización y consumo de bebidas alcohólicas</w:t>
            </w:r>
          </w:p>
        </w:tc>
        <w:tc>
          <w:tcPr>
            <w:tcW w:type="dxa" w:w="4309"/>
            <w:vAlign w:val="center"/>
          </w:tcPr>
          <w:p>
            <w:pPr>
              <w:spacing w:after="20" w:before="20"/>
              <w:jc w:val="left"/>
            </w:pPr>
            <w:r>
              <w:rPr>
                <w:b w:val="0"/>
                <w:i w:val="0"/>
                <w:sz w:val="16"/>
              </w:rPr>
              <w:t>Ley N.° 28681, Ley que regula la comercialización, consumo y publicidad de bebidas alcohólicas, y su Reglamento (D.S. N.° 012-2009-SA)</w:t>
            </w:r>
          </w:p>
        </w:tc>
        <w:tc>
          <w:tcPr>
            <w:tcW w:type="dxa" w:w="1701"/>
            <w:vAlign w:val="center"/>
          </w:tcPr>
          <w:p>
            <w:pPr>
              <w:spacing w:after="20" w:before="20"/>
              <w:jc w:val="left"/>
            </w:pPr>
            <w:r>
              <w:rPr>
                <w:b w:val="0"/>
                <w:i w:val="0"/>
                <w:sz w:val="16"/>
              </w:rPr>
              <w:t>No menor de 100 m</w:t>
            </w:r>
          </w:p>
        </w:tc>
        <w:tc>
          <w:tcPr>
            <w:tcW w:type="dxa" w:w="4252"/>
            <w:vAlign w:val="center"/>
          </w:tcPr>
          <w:p>
            <w:pPr>
              <w:spacing w:after="20" w:before="20"/>
              <w:jc w:val="left"/>
            </w:pPr>
            <w:r>
              <w:rPr>
                <w:b w:val="0"/>
                <w:i w:val="0"/>
                <w:sz w:val="16"/>
              </w:rPr>
              <w:t>No existen locales de venta y consumo de bebidas alcohólicas a menos de 100 m del predio, lo que favorece la tranquilidad y la seguridad de las residentes.</w:t>
            </w:r>
          </w:p>
        </w:tc>
        <w:tc>
          <w:tcPr>
            <w:tcW w:type="dxa" w:w="964"/>
            <w:vAlign w:val="center"/>
          </w:tcPr>
          <w:p>
            <w:pPr>
              <w:spacing w:after="20" w:before="20"/>
              <w:jc w:val="center"/>
            </w:pPr>
            <w:r>
              <w:rPr>
                <w:b w:val="0"/>
                <w:i w:val="0"/>
                <w:sz w:val="16"/>
              </w:rPr>
              <w:t>CUMPLE</w:t>
            </w:r>
          </w:p>
        </w:tc>
      </w:tr>
      <w:tr>
        <w:trPr>
          <w:cantSplit/>
        </w:trPr>
        <w:tc>
          <w:tcPr>
            <w:tcW w:type="dxa" w:w="510"/>
            <w:vAlign w:val="center"/>
          </w:tcPr>
          <w:p>
            <w:pPr>
              <w:spacing w:after="20" w:before="20"/>
              <w:jc w:val="center"/>
            </w:pPr>
            <w:r>
              <w:rPr>
                <w:b w:val="0"/>
                <w:i w:val="0"/>
                <w:sz w:val="16"/>
              </w:rPr>
              <w:t>6</w:t>
            </w:r>
          </w:p>
        </w:tc>
        <w:tc>
          <w:tcPr>
            <w:tcW w:type="dxa" w:w="2835"/>
            <w:vAlign w:val="center"/>
          </w:tcPr>
          <w:p>
            <w:pPr>
              <w:spacing w:after="20" w:before="20"/>
              <w:jc w:val="left"/>
            </w:pPr>
            <w:r>
              <w:rPr>
                <w:b w:val="0"/>
                <w:i w:val="0"/>
                <w:sz w:val="16"/>
              </w:rPr>
              <w:t>Plantas de abastecimiento de combustibles líquidos y otros productos derivados de los hidrocarburos</w:t>
            </w:r>
          </w:p>
        </w:tc>
        <w:tc>
          <w:tcPr>
            <w:tcW w:type="dxa" w:w="4309"/>
            <w:vAlign w:val="center"/>
          </w:tcPr>
          <w:p>
            <w:pPr>
              <w:spacing w:after="20" w:before="20"/>
              <w:jc w:val="left"/>
            </w:pPr>
            <w:r>
              <w:rPr>
                <w:b w:val="0"/>
                <w:i w:val="0"/>
                <w:sz w:val="16"/>
              </w:rPr>
              <w:t>D.S. N.° 045-2001-EM, Reglamento para la Comercialización de Combustibles Líquidos y otros Productos Derivados de los Hidrocarburos</w:t>
            </w:r>
          </w:p>
        </w:tc>
        <w:tc>
          <w:tcPr>
            <w:tcW w:type="dxa" w:w="1701"/>
            <w:vAlign w:val="center"/>
          </w:tcPr>
          <w:p>
            <w:pPr>
              <w:spacing w:after="20" w:before="20"/>
              <w:jc w:val="left"/>
            </w:pPr>
            <w:r>
              <w:rPr>
                <w:b w:val="0"/>
                <w:i w:val="0"/>
                <w:sz w:val="16"/>
              </w:rPr>
              <w:t>No menor de 100 m</w:t>
            </w:r>
          </w:p>
        </w:tc>
        <w:tc>
          <w:tcPr>
            <w:tcW w:type="dxa" w:w="4252"/>
            <w:vAlign w:val="center"/>
          </w:tcPr>
          <w:p>
            <w:pPr>
              <w:spacing w:after="20" w:before="20"/>
              <w:jc w:val="left"/>
            </w:pPr>
            <w:r>
              <w:rPr>
                <w:b w:val="0"/>
                <w:i w:val="0"/>
                <w:sz w:val="16"/>
              </w:rPr>
              <w:t>No existen plantas de abastecimiento de combustibles ni de derivados de hidrocarburos.</w:t>
            </w:r>
          </w:p>
        </w:tc>
        <w:tc>
          <w:tcPr>
            <w:tcW w:type="dxa" w:w="964"/>
            <w:vAlign w:val="center"/>
          </w:tcPr>
          <w:p>
            <w:pPr>
              <w:spacing w:after="20" w:before="20"/>
              <w:jc w:val="center"/>
            </w:pPr>
            <w:r>
              <w:rPr>
                <w:b w:val="0"/>
                <w:i w:val="0"/>
                <w:sz w:val="16"/>
              </w:rPr>
              <w:t>CUMPLE</w:t>
            </w:r>
          </w:p>
        </w:tc>
      </w:tr>
      <w:tr>
        <w:trPr>
          <w:cantSplit/>
        </w:trPr>
        <w:tc>
          <w:tcPr>
            <w:tcW w:type="dxa" w:w="510"/>
            <w:vAlign w:val="center"/>
          </w:tcPr>
          <w:p>
            <w:pPr>
              <w:spacing w:after="20" w:before="20"/>
              <w:jc w:val="center"/>
            </w:pPr>
            <w:r>
              <w:rPr>
                <w:b w:val="0"/>
                <w:i w:val="0"/>
                <w:sz w:val="16"/>
              </w:rPr>
              <w:t>7</w:t>
            </w:r>
          </w:p>
        </w:tc>
        <w:tc>
          <w:tcPr>
            <w:tcW w:type="dxa" w:w="2835"/>
            <w:vAlign w:val="center"/>
          </w:tcPr>
          <w:p>
            <w:pPr>
              <w:spacing w:after="20" w:before="20"/>
              <w:jc w:val="left"/>
            </w:pPr>
            <w:r>
              <w:rPr>
                <w:b w:val="0"/>
                <w:i w:val="0"/>
                <w:sz w:val="16"/>
              </w:rPr>
              <w:t>Fajas marginales de las fuentes de agua, naturales o artificiales</w:t>
            </w:r>
          </w:p>
        </w:tc>
        <w:tc>
          <w:tcPr>
            <w:tcW w:type="dxa" w:w="4309"/>
            <w:vAlign w:val="center"/>
          </w:tcPr>
          <w:p>
            <w:pPr>
              <w:spacing w:after="20" w:before="20"/>
              <w:jc w:val="left"/>
            </w:pPr>
            <w:r>
              <w:rPr>
                <w:b w:val="0"/>
                <w:i w:val="0"/>
                <w:sz w:val="16"/>
              </w:rPr>
              <w:t>D.S. N.° 001-2010-AG, Reglamento de la Ley N.° 29338, Ley de Recursos Hídricos</w:t>
            </w:r>
          </w:p>
        </w:tc>
        <w:tc>
          <w:tcPr>
            <w:tcW w:type="dxa" w:w="1701"/>
            <w:vAlign w:val="center"/>
          </w:tcPr>
          <w:p>
            <w:pPr>
              <w:spacing w:after="20" w:before="20"/>
              <w:jc w:val="left"/>
            </w:pPr>
            <w:r>
              <w:rPr>
                <w:b w:val="0"/>
                <w:i w:val="0"/>
                <w:sz w:val="16"/>
              </w:rPr>
              <w:t>Faja marginal de cada fuente de agua</w:t>
            </w:r>
          </w:p>
        </w:tc>
        <w:tc>
          <w:tcPr>
            <w:tcW w:type="dxa" w:w="4252"/>
            <w:vAlign w:val="center"/>
          </w:tcPr>
          <w:p>
            <w:pPr>
              <w:spacing w:after="20" w:before="20"/>
              <w:jc w:val="left"/>
            </w:pPr>
            <w:r>
              <w:rPr>
                <w:b w:val="0"/>
                <w:i w:val="0"/>
                <w:sz w:val="16"/>
              </w:rPr>
              <w:t>No existen fuentes de agua naturales ni artificiales colindantes; el predio no ocupa fajas marginales.</w:t>
            </w:r>
          </w:p>
        </w:tc>
        <w:tc>
          <w:tcPr>
            <w:tcW w:type="dxa" w:w="964"/>
            <w:vAlign w:val="center"/>
          </w:tcPr>
          <w:p>
            <w:pPr>
              <w:spacing w:after="20" w:before="20"/>
              <w:jc w:val="center"/>
            </w:pPr>
            <w:r>
              <w:rPr>
                <w:b w:val="0"/>
                <w:i w:val="0"/>
                <w:sz w:val="16"/>
              </w:rPr>
              <w:t>CUMPLE</w:t>
            </w:r>
          </w:p>
        </w:tc>
      </w:tr>
      <w:tr>
        <w:trPr>
          <w:cantSplit/>
        </w:trPr>
        <w:tc>
          <w:tcPr>
            <w:tcW w:type="dxa" w:w="510"/>
            <w:vAlign w:val="center"/>
          </w:tcPr>
          <w:p>
            <w:pPr>
              <w:spacing w:after="20" w:before="20"/>
              <w:jc w:val="center"/>
            </w:pPr>
            <w:r>
              <w:rPr>
                <w:b w:val="0"/>
                <w:i w:val="0"/>
                <w:sz w:val="16"/>
              </w:rPr>
              <w:t>8</w:t>
            </w:r>
          </w:p>
        </w:tc>
        <w:tc>
          <w:tcPr>
            <w:tcW w:type="dxa" w:w="2835"/>
            <w:vAlign w:val="center"/>
          </w:tcPr>
          <w:p>
            <w:pPr>
              <w:spacing w:after="20" w:before="20"/>
              <w:jc w:val="left"/>
            </w:pPr>
            <w:r>
              <w:rPr>
                <w:b w:val="0"/>
                <w:i w:val="0"/>
                <w:sz w:val="16"/>
              </w:rPr>
              <w:t>Sistema de transporte de hidrocarburos por ductos</w:t>
            </w:r>
          </w:p>
        </w:tc>
        <w:tc>
          <w:tcPr>
            <w:tcW w:type="dxa" w:w="4309"/>
            <w:vAlign w:val="center"/>
          </w:tcPr>
          <w:p>
            <w:pPr>
              <w:spacing w:after="20" w:before="20"/>
              <w:jc w:val="left"/>
            </w:pPr>
            <w:r>
              <w:rPr>
                <w:b w:val="0"/>
                <w:i w:val="0"/>
                <w:sz w:val="16"/>
              </w:rPr>
              <w:t>D.S. N.° 081-2007-EM (modificado por el D.S. N.° 007-2012-EM), Reglamento de Transporte de Hidrocarburos por Ductos</w:t>
            </w:r>
          </w:p>
        </w:tc>
        <w:tc>
          <w:tcPr>
            <w:tcW w:type="dxa" w:w="1701"/>
            <w:vAlign w:val="center"/>
          </w:tcPr>
          <w:p>
            <w:pPr>
              <w:spacing w:after="20" w:before="20"/>
              <w:jc w:val="left"/>
            </w:pPr>
            <w:r>
              <w:rPr>
                <w:b w:val="0"/>
                <w:i w:val="0"/>
                <w:sz w:val="16"/>
              </w:rPr>
              <w:t>No menor de 200 m</w:t>
            </w:r>
          </w:p>
        </w:tc>
        <w:tc>
          <w:tcPr>
            <w:tcW w:type="dxa" w:w="4252"/>
            <w:vAlign w:val="center"/>
          </w:tcPr>
          <w:p>
            <w:pPr>
              <w:spacing w:after="20" w:before="20"/>
              <w:jc w:val="left"/>
            </w:pPr>
            <w:r>
              <w:rPr>
                <w:b w:val="0"/>
                <w:i w:val="0"/>
                <w:sz w:val="16"/>
              </w:rPr>
              <w:t>No existe sistema de transporte de hidrocarburos por ductos.</w:t>
            </w:r>
          </w:p>
        </w:tc>
        <w:tc>
          <w:tcPr>
            <w:tcW w:type="dxa" w:w="964"/>
            <w:vAlign w:val="center"/>
          </w:tcPr>
          <w:p>
            <w:pPr>
              <w:spacing w:after="20" w:before="20"/>
              <w:jc w:val="center"/>
            </w:pPr>
            <w:r>
              <w:rPr>
                <w:b w:val="0"/>
                <w:i w:val="0"/>
                <w:sz w:val="16"/>
              </w:rPr>
              <w:t>CUMPLE</w:t>
            </w:r>
          </w:p>
        </w:tc>
      </w:tr>
      <w:tr>
        <w:trPr>
          <w:cantSplit/>
        </w:trPr>
        <w:tc>
          <w:tcPr>
            <w:tcW w:type="dxa" w:w="510"/>
            <w:vAlign w:val="center"/>
          </w:tcPr>
          <w:p>
            <w:pPr>
              <w:spacing w:after="20" w:before="20"/>
              <w:jc w:val="center"/>
            </w:pPr>
            <w:r>
              <w:rPr>
                <w:b w:val="0"/>
                <w:i w:val="0"/>
                <w:sz w:val="16"/>
              </w:rPr>
              <w:t>9</w:t>
            </w:r>
          </w:p>
        </w:tc>
        <w:tc>
          <w:tcPr>
            <w:tcW w:type="dxa" w:w="2835"/>
            <w:vAlign w:val="center"/>
          </w:tcPr>
          <w:p>
            <w:pPr>
              <w:spacing w:after="20" w:before="20"/>
              <w:jc w:val="left"/>
            </w:pPr>
            <w:r>
              <w:rPr>
                <w:b w:val="0"/>
                <w:i w:val="0"/>
                <w:sz w:val="16"/>
              </w:rPr>
              <w:t>Pozos para la exploración y explotación de hidrocarburos</w:t>
            </w:r>
          </w:p>
        </w:tc>
        <w:tc>
          <w:tcPr>
            <w:tcW w:type="dxa" w:w="4309"/>
            <w:vAlign w:val="center"/>
          </w:tcPr>
          <w:p>
            <w:pPr>
              <w:spacing w:after="20" w:before="20"/>
              <w:jc w:val="left"/>
            </w:pPr>
            <w:r>
              <w:rPr>
                <w:b w:val="0"/>
                <w:i w:val="0"/>
                <w:sz w:val="16"/>
              </w:rPr>
              <w:t>D.S. N.° 032-2004-EM, Reglamento de las Actividades de Exploración y Explotación de Hidrocarburos</w:t>
            </w:r>
          </w:p>
        </w:tc>
        <w:tc>
          <w:tcPr>
            <w:tcW w:type="dxa" w:w="1701"/>
            <w:vAlign w:val="center"/>
          </w:tcPr>
          <w:p>
            <w:pPr>
              <w:spacing w:after="20" w:before="20"/>
              <w:jc w:val="left"/>
            </w:pPr>
            <w:r>
              <w:rPr>
                <w:b w:val="0"/>
                <w:i w:val="0"/>
                <w:sz w:val="16"/>
              </w:rPr>
              <w:t>Área de las instalaciones de exploración y explotación</w:t>
            </w:r>
          </w:p>
        </w:tc>
        <w:tc>
          <w:tcPr>
            <w:tcW w:type="dxa" w:w="4252"/>
            <w:vAlign w:val="center"/>
          </w:tcPr>
          <w:p>
            <w:pPr>
              <w:spacing w:after="20" w:before="20"/>
              <w:jc w:val="left"/>
            </w:pPr>
            <w:r>
              <w:rPr>
                <w:b w:val="0"/>
                <w:i w:val="0"/>
                <w:sz w:val="16"/>
              </w:rPr>
              <w:t>No existen actividades de exploración ni de explotación de hidrocarburos.</w:t>
            </w:r>
          </w:p>
        </w:tc>
        <w:tc>
          <w:tcPr>
            <w:tcW w:type="dxa" w:w="964"/>
            <w:vAlign w:val="center"/>
          </w:tcPr>
          <w:p>
            <w:pPr>
              <w:spacing w:after="20" w:before="20"/>
              <w:jc w:val="center"/>
            </w:pPr>
            <w:r>
              <w:rPr>
                <w:b w:val="0"/>
                <w:i w:val="0"/>
                <w:sz w:val="16"/>
              </w:rPr>
              <w:t>CUMPLE</w:t>
            </w:r>
          </w:p>
        </w:tc>
      </w:tr>
      <w:tr>
        <w:trPr>
          <w:cantSplit/>
        </w:trPr>
        <w:tc>
          <w:tcPr>
            <w:tcW w:type="dxa" w:w="510"/>
            <w:vAlign w:val="center"/>
          </w:tcPr>
          <w:p>
            <w:pPr>
              <w:spacing w:after="20" w:before="20"/>
              <w:jc w:val="center"/>
            </w:pPr>
            <w:r>
              <w:rPr>
                <w:b w:val="0"/>
                <w:i w:val="0"/>
                <w:sz w:val="16"/>
              </w:rPr>
              <w:t>10</w:t>
            </w:r>
          </w:p>
        </w:tc>
        <w:tc>
          <w:tcPr>
            <w:tcW w:type="dxa" w:w="2835"/>
            <w:vAlign w:val="center"/>
          </w:tcPr>
          <w:p>
            <w:pPr>
              <w:spacing w:after="20" w:before="20"/>
              <w:jc w:val="left"/>
            </w:pPr>
            <w:r>
              <w:rPr>
                <w:b w:val="0"/>
                <w:i w:val="0"/>
                <w:sz w:val="16"/>
              </w:rPr>
              <w:t>Aeródromos</w:t>
            </w:r>
          </w:p>
        </w:tc>
        <w:tc>
          <w:tcPr>
            <w:tcW w:type="dxa" w:w="4309"/>
            <w:vAlign w:val="center"/>
          </w:tcPr>
          <w:p>
            <w:pPr>
              <w:spacing w:after="20" w:before="20"/>
              <w:jc w:val="left"/>
            </w:pPr>
            <w:r>
              <w:rPr>
                <w:b w:val="0"/>
                <w:i w:val="0"/>
                <w:sz w:val="16"/>
              </w:rPr>
              <w:t>D.S. N.° 050-2001-MTC, Reglamento de la Ley de Aeronáutica Civil, y sus modificatorias</w:t>
            </w:r>
          </w:p>
        </w:tc>
        <w:tc>
          <w:tcPr>
            <w:tcW w:type="dxa" w:w="1701"/>
            <w:vAlign w:val="center"/>
          </w:tcPr>
          <w:p>
            <w:pPr>
              <w:spacing w:after="20" w:before="20"/>
              <w:jc w:val="left"/>
            </w:pPr>
            <w:r>
              <w:rPr>
                <w:b w:val="0"/>
                <w:i w:val="0"/>
                <w:sz w:val="16"/>
              </w:rPr>
              <w:t>Superficies limitadoras de obstáculos</w:t>
            </w:r>
          </w:p>
        </w:tc>
        <w:tc>
          <w:tcPr>
            <w:tcW w:type="dxa" w:w="4252"/>
            <w:vAlign w:val="center"/>
          </w:tcPr>
          <w:p>
            <w:pPr>
              <w:spacing w:after="20" w:before="20"/>
              <w:jc w:val="left"/>
            </w:pPr>
            <w:r>
              <w:rPr>
                <w:b w:val="0"/>
                <w:i w:val="0"/>
                <w:sz w:val="16"/>
              </w:rPr>
              <w:t>El aeropuerto de Tarapoto está a unos 3.5 km, al costado del eje de la pista 17/35 (unos 2.4 km al oeste), fuera de las superficies de aproximación y despegue; las edificaciones del hogar son de baja altura.</w:t>
            </w:r>
          </w:p>
        </w:tc>
        <w:tc>
          <w:tcPr>
            <w:tcW w:type="dxa" w:w="964"/>
            <w:vAlign w:val="center"/>
          </w:tcPr>
          <w:p>
            <w:pPr>
              <w:spacing w:after="20" w:before="20"/>
              <w:jc w:val="center"/>
            </w:pPr>
            <w:r>
              <w:rPr>
                <w:b w:val="0"/>
                <w:i w:val="0"/>
                <w:sz w:val="16"/>
              </w:rPr>
              <w:t>CUMPLE</w:t>
            </w:r>
          </w:p>
        </w:tc>
      </w:tr>
      <w:tr>
        <w:trPr>
          <w:cantSplit/>
        </w:trPr>
        <w:tc>
          <w:tcPr>
            <w:tcW w:type="dxa" w:w="510"/>
            <w:vAlign w:val="center"/>
          </w:tcPr>
          <w:p>
            <w:pPr>
              <w:spacing w:after="20" w:before="20"/>
              <w:jc w:val="center"/>
            </w:pPr>
            <w:r>
              <w:rPr>
                <w:b w:val="0"/>
                <w:i w:val="0"/>
                <w:sz w:val="16"/>
              </w:rPr>
              <w:t>11</w:t>
            </w:r>
          </w:p>
        </w:tc>
        <w:tc>
          <w:tcPr>
            <w:tcW w:type="dxa" w:w="2835"/>
            <w:vAlign w:val="center"/>
          </w:tcPr>
          <w:p>
            <w:pPr>
              <w:spacing w:after="20" w:before="20"/>
              <w:jc w:val="left"/>
            </w:pPr>
            <w:r>
              <w:rPr>
                <w:b w:val="0"/>
                <w:i w:val="0"/>
                <w:sz w:val="16"/>
              </w:rPr>
              <w:t>Servidumbre de líneas aéreas de instalaciones eléctricas</w:t>
            </w:r>
          </w:p>
        </w:tc>
        <w:tc>
          <w:tcPr>
            <w:tcW w:type="dxa" w:w="4309"/>
            <w:vAlign w:val="center"/>
          </w:tcPr>
          <w:p>
            <w:pPr>
              <w:spacing w:after="20" w:before="20"/>
              <w:jc w:val="left"/>
            </w:pPr>
            <w:r>
              <w:rPr>
                <w:b w:val="0"/>
                <w:i w:val="0"/>
                <w:sz w:val="16"/>
              </w:rPr>
              <w:t>R.M. N.° 214-2011-MEM/DM, Código Nacional de Electricidad (Suministro 2011)</w:t>
            </w:r>
          </w:p>
        </w:tc>
        <w:tc>
          <w:tcPr>
            <w:tcW w:type="dxa" w:w="1701"/>
            <w:vAlign w:val="center"/>
          </w:tcPr>
          <w:p>
            <w:pPr>
              <w:spacing w:after="20" w:before="20"/>
              <w:jc w:val="left"/>
            </w:pPr>
            <w:r>
              <w:rPr>
                <w:b w:val="0"/>
                <w:i w:val="0"/>
                <w:sz w:val="16"/>
              </w:rPr>
              <w:t>Faja de servidumbre según la tensión de la línea</w:t>
            </w:r>
          </w:p>
        </w:tc>
        <w:tc>
          <w:tcPr>
            <w:tcW w:type="dxa" w:w="4252"/>
            <w:vAlign w:val="center"/>
          </w:tcPr>
          <w:p>
            <w:pPr>
              <w:spacing w:after="20" w:before="20"/>
              <w:jc w:val="left"/>
            </w:pPr>
            <w:r>
              <w:rPr>
                <w:b w:val="0"/>
                <w:i w:val="0"/>
                <w:sz w:val="16"/>
              </w:rPr>
              <w:t>No existen líneas aéreas cuya faja de servidumbre ocupe el predio.</w:t>
            </w:r>
          </w:p>
        </w:tc>
        <w:tc>
          <w:tcPr>
            <w:tcW w:type="dxa" w:w="964"/>
            <w:vAlign w:val="center"/>
          </w:tcPr>
          <w:p>
            <w:pPr>
              <w:spacing w:after="20" w:before="20"/>
              <w:jc w:val="center"/>
            </w:pPr>
            <w:r>
              <w:rPr>
                <w:b w:val="0"/>
                <w:i w:val="0"/>
                <w:sz w:val="16"/>
              </w:rPr>
              <w:t>CUMPLE</w:t>
            </w:r>
          </w:p>
        </w:tc>
      </w:tr>
      <w:tr>
        <w:trPr>
          <w:cantSplit/>
        </w:trPr>
        <w:tc>
          <w:tcPr>
            <w:tcW w:type="dxa" w:w="510"/>
            <w:vAlign w:val="center"/>
          </w:tcPr>
          <w:p>
            <w:pPr>
              <w:spacing w:after="20" w:before="20"/>
              <w:jc w:val="center"/>
            </w:pPr>
            <w:r>
              <w:rPr>
                <w:b w:val="0"/>
                <w:i w:val="0"/>
                <w:sz w:val="16"/>
              </w:rPr>
              <w:t>12</w:t>
            </w:r>
          </w:p>
        </w:tc>
        <w:tc>
          <w:tcPr>
            <w:tcW w:type="dxa" w:w="2835"/>
            <w:vAlign w:val="center"/>
          </w:tcPr>
          <w:p>
            <w:pPr>
              <w:spacing w:after="20" w:before="20"/>
              <w:jc w:val="left"/>
            </w:pPr>
            <w:r>
              <w:rPr>
                <w:b w:val="0"/>
                <w:i w:val="0"/>
                <w:sz w:val="16"/>
              </w:rPr>
              <w:t>Servidumbre de electroductos</w:t>
            </w:r>
          </w:p>
        </w:tc>
        <w:tc>
          <w:tcPr>
            <w:tcW w:type="dxa" w:w="4309"/>
            <w:vAlign w:val="center"/>
          </w:tcPr>
          <w:p>
            <w:pPr>
              <w:spacing w:after="20" w:before="20"/>
              <w:jc w:val="left"/>
            </w:pPr>
            <w:r>
              <w:rPr>
                <w:b w:val="0"/>
                <w:i w:val="0"/>
                <w:sz w:val="16"/>
              </w:rPr>
              <w:t>Decreto Ley N.° 25844, Ley de Concesiones Eléctricas, y sus modificatorias</w:t>
            </w:r>
          </w:p>
        </w:tc>
        <w:tc>
          <w:tcPr>
            <w:tcW w:type="dxa" w:w="1701"/>
            <w:vAlign w:val="center"/>
          </w:tcPr>
          <w:p>
            <w:pPr>
              <w:spacing w:after="20" w:before="20"/>
              <w:jc w:val="left"/>
            </w:pPr>
            <w:r>
              <w:rPr>
                <w:b w:val="0"/>
                <w:i w:val="0"/>
                <w:sz w:val="16"/>
              </w:rPr>
              <w:t>Servidumbre impuesta sobre el predio</w:t>
            </w:r>
          </w:p>
        </w:tc>
        <w:tc>
          <w:tcPr>
            <w:tcW w:type="dxa" w:w="4252"/>
            <w:vAlign w:val="center"/>
          </w:tcPr>
          <w:p>
            <w:pPr>
              <w:spacing w:after="20" w:before="20"/>
              <w:jc w:val="left"/>
            </w:pPr>
            <w:r>
              <w:rPr>
                <w:b w:val="0"/>
                <w:i w:val="0"/>
                <w:sz w:val="16"/>
              </w:rPr>
              <w:t>No existen electroductos ni servidumbres eléctricas impuestas sobre el predio.</w:t>
            </w:r>
          </w:p>
        </w:tc>
        <w:tc>
          <w:tcPr>
            <w:tcW w:type="dxa" w:w="964"/>
            <w:vAlign w:val="center"/>
          </w:tcPr>
          <w:p>
            <w:pPr>
              <w:spacing w:after="20" w:before="20"/>
              <w:jc w:val="center"/>
            </w:pPr>
            <w:r>
              <w:rPr>
                <w:b w:val="0"/>
                <w:i w:val="0"/>
                <w:sz w:val="16"/>
              </w:rPr>
              <w:t>CUMPLE</w:t>
            </w:r>
          </w:p>
        </w:tc>
      </w:tr>
      <w:tr>
        <w:trPr>
          <w:cantSplit/>
        </w:trPr>
        <w:tc>
          <w:tcPr>
            <w:tcW w:type="dxa" w:w="510"/>
            <w:vAlign w:val="center"/>
          </w:tcPr>
          <w:p>
            <w:pPr>
              <w:spacing w:after="20" w:before="20"/>
              <w:jc w:val="center"/>
            </w:pPr>
            <w:r>
              <w:rPr>
                <w:b w:val="0"/>
                <w:i w:val="0"/>
                <w:sz w:val="16"/>
              </w:rPr>
              <w:t>13</w:t>
            </w:r>
          </w:p>
        </w:tc>
        <w:tc>
          <w:tcPr>
            <w:tcW w:type="dxa" w:w="2835"/>
            <w:vAlign w:val="center"/>
          </w:tcPr>
          <w:p>
            <w:pPr>
              <w:spacing w:after="20" w:before="20"/>
              <w:jc w:val="left"/>
            </w:pPr>
            <w:r>
              <w:rPr>
                <w:b w:val="0"/>
                <w:i w:val="0"/>
                <w:sz w:val="16"/>
              </w:rPr>
              <w:t>Restricciones radioeléctricas en áreas de uso público próximas a una estación radioeléctrica</w:t>
            </w:r>
          </w:p>
        </w:tc>
        <w:tc>
          <w:tcPr>
            <w:tcW w:type="dxa" w:w="4309"/>
            <w:vAlign w:val="center"/>
          </w:tcPr>
          <w:p>
            <w:pPr>
              <w:spacing w:after="20" w:before="20"/>
              <w:jc w:val="left"/>
            </w:pPr>
            <w:r>
              <w:rPr>
                <w:b w:val="0"/>
                <w:i w:val="0"/>
                <w:sz w:val="16"/>
              </w:rPr>
              <w:t>R.M. N.° 120-2005-MTC/03, Norma Técnica sobre Restricciones Radioeléctricas en Áreas de Uso Público</w:t>
            </w:r>
          </w:p>
        </w:tc>
        <w:tc>
          <w:tcPr>
            <w:tcW w:type="dxa" w:w="1701"/>
            <w:vAlign w:val="center"/>
          </w:tcPr>
          <w:p>
            <w:pPr>
              <w:spacing w:after="20" w:before="20"/>
              <w:jc w:val="left"/>
            </w:pPr>
            <w:r>
              <w:rPr>
                <w:b w:val="0"/>
                <w:i w:val="0"/>
                <w:sz w:val="16"/>
              </w:rPr>
              <w:t>Límites de exposición de la norma</w:t>
            </w:r>
          </w:p>
        </w:tc>
        <w:tc>
          <w:tcPr>
            <w:tcW w:type="dxa" w:w="4252"/>
            <w:vAlign w:val="center"/>
          </w:tcPr>
          <w:p>
            <w:pPr>
              <w:spacing w:after="20" w:before="20"/>
              <w:jc w:val="left"/>
            </w:pPr>
            <w:r>
              <w:rPr>
                <w:b w:val="0"/>
                <w:i w:val="0"/>
                <w:sz w:val="16"/>
              </w:rPr>
              <w:t>No existen estaciones radioeléctricas que afecten el predio; se cumple la R.M. N.° 120-2005-MTC/03.</w:t>
            </w:r>
          </w:p>
        </w:tc>
        <w:tc>
          <w:tcPr>
            <w:tcW w:type="dxa" w:w="964"/>
            <w:vAlign w:val="center"/>
          </w:tcPr>
          <w:p>
            <w:pPr>
              <w:spacing w:after="20" w:before="20"/>
              <w:jc w:val="center"/>
            </w:pPr>
            <w:r>
              <w:rPr>
                <w:b w:val="0"/>
                <w:i w:val="0"/>
                <w:sz w:val="16"/>
              </w:rPr>
              <w:t>CUMPLE</w:t>
            </w:r>
          </w:p>
        </w:tc>
      </w:tr>
      <w:tr>
        <w:trPr>
          <w:cantSplit/>
        </w:trPr>
        <w:tc>
          <w:tcPr>
            <w:tcW w:type="dxa" w:w="510"/>
            <w:vAlign w:val="center"/>
          </w:tcPr>
          <w:p>
            <w:pPr>
              <w:spacing w:after="20" w:before="20"/>
              <w:jc w:val="center"/>
            </w:pPr>
            <w:r>
              <w:rPr>
                <w:b w:val="0"/>
                <w:i w:val="0"/>
                <w:sz w:val="16"/>
              </w:rPr>
              <w:t>14</w:t>
            </w:r>
          </w:p>
        </w:tc>
        <w:tc>
          <w:tcPr>
            <w:tcW w:type="dxa" w:w="2835"/>
            <w:vAlign w:val="center"/>
          </w:tcPr>
          <w:p>
            <w:pPr>
              <w:spacing w:after="20" w:before="20"/>
              <w:jc w:val="left"/>
            </w:pPr>
            <w:r>
              <w:rPr>
                <w:b w:val="0"/>
                <w:i w:val="0"/>
                <w:sz w:val="16"/>
              </w:rPr>
              <w:t>Plantas de tratamiento de aguas residuales</w:t>
            </w:r>
          </w:p>
        </w:tc>
        <w:tc>
          <w:tcPr>
            <w:tcW w:type="dxa" w:w="4309"/>
            <w:vAlign w:val="center"/>
          </w:tcPr>
          <w:p>
            <w:pPr>
              <w:spacing w:after="20" w:before="20"/>
              <w:jc w:val="left"/>
            </w:pPr>
            <w:r>
              <w:rPr>
                <w:b w:val="0"/>
                <w:i w:val="0"/>
                <w:sz w:val="16"/>
              </w:rPr>
              <w:t>D.S. N.° 011-2006-VIVIENDA, Norma OS.090 "Plantas de tratamiento de aguas residuales" del RNE</w:t>
            </w:r>
          </w:p>
        </w:tc>
        <w:tc>
          <w:tcPr>
            <w:tcW w:type="dxa" w:w="1701"/>
            <w:vAlign w:val="center"/>
          </w:tcPr>
          <w:p>
            <w:pPr>
              <w:spacing w:after="20" w:before="20"/>
              <w:jc w:val="left"/>
            </w:pPr>
            <w:r>
              <w:rPr>
                <w:b w:val="0"/>
                <w:i w:val="0"/>
                <w:sz w:val="16"/>
              </w:rPr>
              <w:t>Distancia de la planta a la zona habitada</w:t>
            </w:r>
          </w:p>
        </w:tc>
        <w:tc>
          <w:tcPr>
            <w:tcW w:type="dxa" w:w="4252"/>
            <w:vAlign w:val="center"/>
          </w:tcPr>
          <w:p>
            <w:pPr>
              <w:spacing w:after="20" w:before="20"/>
              <w:jc w:val="left"/>
            </w:pPr>
            <w:r>
              <w:rPr>
                <w:b w:val="0"/>
                <w:i w:val="0"/>
                <w:sz w:val="16"/>
              </w:rPr>
              <w:t>No existen plantas de tratamiento de aguas residuales de terceros en el entorno del predio.</w:t>
            </w:r>
          </w:p>
        </w:tc>
        <w:tc>
          <w:tcPr>
            <w:tcW w:type="dxa" w:w="964"/>
            <w:vAlign w:val="center"/>
          </w:tcPr>
          <w:p>
            <w:pPr>
              <w:spacing w:after="20" w:before="20"/>
              <w:jc w:val="center"/>
            </w:pPr>
            <w:r>
              <w:rPr>
                <w:b w:val="0"/>
                <w:i w:val="0"/>
                <w:sz w:val="16"/>
              </w:rPr>
              <w:t>CUMPLE</w:t>
            </w:r>
          </w:p>
        </w:tc>
      </w:tr>
      <w:tr>
        <w:trPr>
          <w:cantSplit/>
        </w:trPr>
        <w:tc>
          <w:tcPr>
            <w:tcW w:type="dxa" w:w="510"/>
            <w:vAlign w:val="center"/>
          </w:tcPr>
          <w:p>
            <w:pPr>
              <w:spacing w:after="20" w:before="20"/>
              <w:jc w:val="center"/>
            </w:pPr>
            <w:r>
              <w:rPr>
                <w:b w:val="0"/>
                <w:i w:val="0"/>
                <w:sz w:val="16"/>
              </w:rPr>
              <w:t>15</w:t>
            </w:r>
          </w:p>
        </w:tc>
        <w:tc>
          <w:tcPr>
            <w:tcW w:type="dxa" w:w="2835"/>
            <w:vAlign w:val="center"/>
          </w:tcPr>
          <w:p>
            <w:pPr>
              <w:spacing w:after="20" w:before="20"/>
              <w:jc w:val="left"/>
            </w:pPr>
            <w:r>
              <w:rPr>
                <w:b w:val="0"/>
                <w:i w:val="0"/>
                <w:sz w:val="16"/>
              </w:rPr>
              <w:t>Faja de terreno lateral y colindante al derecho de vía</w:t>
            </w:r>
          </w:p>
        </w:tc>
        <w:tc>
          <w:tcPr>
            <w:tcW w:type="dxa" w:w="4309"/>
            <w:vAlign w:val="center"/>
          </w:tcPr>
          <w:p>
            <w:pPr>
              <w:spacing w:after="20" w:before="20"/>
              <w:jc w:val="left"/>
            </w:pPr>
            <w:r>
              <w:rPr>
                <w:b w:val="0"/>
                <w:i w:val="0"/>
                <w:sz w:val="16"/>
              </w:rPr>
              <w:t>D.S. N.° 034-2008-MTC, Reglamento Nacional de Gestión de Infraestructura Vial</w:t>
            </w:r>
          </w:p>
        </w:tc>
        <w:tc>
          <w:tcPr>
            <w:tcW w:type="dxa" w:w="1701"/>
            <w:vAlign w:val="center"/>
          </w:tcPr>
          <w:p>
            <w:pPr>
              <w:spacing w:after="20" w:before="20"/>
              <w:jc w:val="left"/>
            </w:pPr>
            <w:r>
              <w:rPr>
                <w:b w:val="0"/>
                <w:i w:val="0"/>
                <w:sz w:val="16"/>
              </w:rPr>
              <w:t>Derecho de vía y faja de propiedad restringida</w:t>
            </w:r>
          </w:p>
        </w:tc>
        <w:tc>
          <w:tcPr>
            <w:tcW w:type="dxa" w:w="4252"/>
            <w:vAlign w:val="center"/>
          </w:tcPr>
          <w:p>
            <w:pPr>
              <w:spacing w:after="20" w:before="20"/>
              <w:jc w:val="left"/>
            </w:pPr>
            <w:r>
              <w:rPr>
                <w:b w:val="0"/>
                <w:i w:val="0"/>
                <w:sz w:val="16"/>
              </w:rPr>
              <w:t>El predio no está en área restringida; el cerco y las obras, incluido el colector pluvial frontal, quedan dentro del lindero, sin ocupar la faja de la carretera Oasis.</w:t>
            </w:r>
          </w:p>
        </w:tc>
        <w:tc>
          <w:tcPr>
            <w:tcW w:type="dxa" w:w="964"/>
            <w:vAlign w:val="center"/>
          </w:tcPr>
          <w:p>
            <w:pPr>
              <w:spacing w:after="20" w:before="20"/>
              <w:jc w:val="center"/>
            </w:pPr>
            <w:r>
              <w:rPr>
                <w:b w:val="0"/>
                <w:i w:val="0"/>
                <w:sz w:val="16"/>
              </w:rPr>
              <w:t>CUMPLE</w:t>
            </w:r>
          </w:p>
        </w:tc>
      </w:tr>
      <w:tr>
        <w:trPr>
          <w:cantSplit/>
        </w:trPr>
        <w:tc>
          <w:tcPr>
            <w:tcW w:type="dxa" w:w="510"/>
            <w:vAlign w:val="center"/>
          </w:tcPr>
          <w:p>
            <w:pPr>
              <w:spacing w:after="20" w:before="20"/>
              <w:jc w:val="center"/>
            </w:pPr>
            <w:r>
              <w:rPr>
                <w:b w:val="0"/>
                <w:i w:val="0"/>
                <w:sz w:val="16"/>
              </w:rPr>
              <w:t>16</w:t>
            </w:r>
          </w:p>
        </w:tc>
        <w:tc>
          <w:tcPr>
            <w:tcW w:type="dxa" w:w="2835"/>
            <w:vAlign w:val="center"/>
          </w:tcPr>
          <w:p>
            <w:pPr>
              <w:spacing w:after="20" w:before="20"/>
              <w:jc w:val="left"/>
            </w:pPr>
            <w:r>
              <w:rPr>
                <w:b w:val="0"/>
                <w:i w:val="0"/>
                <w:sz w:val="16"/>
              </w:rPr>
              <w:t>Zonas restringidas colindantes a las vías ferroviarias</w:t>
            </w:r>
          </w:p>
        </w:tc>
        <w:tc>
          <w:tcPr>
            <w:tcW w:type="dxa" w:w="4309"/>
            <w:vAlign w:val="center"/>
          </w:tcPr>
          <w:p>
            <w:pPr>
              <w:spacing w:after="20" w:before="20"/>
              <w:jc w:val="left"/>
            </w:pPr>
            <w:r>
              <w:rPr>
                <w:b w:val="0"/>
                <w:i w:val="0"/>
                <w:sz w:val="16"/>
              </w:rPr>
              <w:t>D.S. N.° 032-2005-MTC, Reglamento Nacional de Ferrocarriles</w:t>
            </w:r>
          </w:p>
        </w:tc>
        <w:tc>
          <w:tcPr>
            <w:tcW w:type="dxa" w:w="1701"/>
            <w:vAlign w:val="center"/>
          </w:tcPr>
          <w:p>
            <w:pPr>
              <w:spacing w:after="20" w:before="20"/>
              <w:jc w:val="left"/>
            </w:pPr>
            <w:r>
              <w:rPr>
                <w:b w:val="0"/>
                <w:i w:val="0"/>
                <w:sz w:val="16"/>
              </w:rPr>
              <w:t>Zona restringida de la vía férrea</w:t>
            </w:r>
          </w:p>
        </w:tc>
        <w:tc>
          <w:tcPr>
            <w:tcW w:type="dxa" w:w="4252"/>
            <w:vAlign w:val="center"/>
          </w:tcPr>
          <w:p>
            <w:pPr>
              <w:spacing w:after="20" w:before="20"/>
              <w:jc w:val="left"/>
            </w:pPr>
            <w:r>
              <w:rPr>
                <w:b w:val="0"/>
                <w:i w:val="0"/>
                <w:sz w:val="16"/>
              </w:rPr>
              <w:t>No existe vía ferroviaria en la zona.</w:t>
            </w:r>
          </w:p>
        </w:tc>
        <w:tc>
          <w:tcPr>
            <w:tcW w:type="dxa" w:w="964"/>
            <w:vAlign w:val="center"/>
          </w:tcPr>
          <w:p>
            <w:pPr>
              <w:spacing w:after="20" w:before="20"/>
              <w:jc w:val="center"/>
            </w:pPr>
            <w:r>
              <w:rPr>
                <w:b w:val="0"/>
                <w:i w:val="0"/>
                <w:sz w:val="16"/>
              </w:rPr>
              <w:t>CUMPLE</w:t>
            </w:r>
          </w:p>
        </w:tc>
      </w:tr>
      <w:tr>
        <w:trPr>
          <w:cantSplit/>
        </w:trPr>
        <w:tc>
          <w:tcPr>
            <w:tcW w:type="dxa" w:w="510"/>
            <w:vAlign w:val="center"/>
          </w:tcPr>
          <w:p>
            <w:pPr>
              <w:spacing w:after="20" w:before="20"/>
              <w:jc w:val="center"/>
            </w:pPr>
            <w:r>
              <w:rPr>
                <w:b w:val="0"/>
                <w:i w:val="0"/>
                <w:sz w:val="16"/>
              </w:rPr>
              <w:t>17</w:t>
            </w:r>
          </w:p>
        </w:tc>
        <w:tc>
          <w:tcPr>
            <w:tcW w:type="dxa" w:w="2835"/>
            <w:vAlign w:val="center"/>
          </w:tcPr>
          <w:p>
            <w:pPr>
              <w:spacing w:after="20" w:before="20"/>
              <w:jc w:val="left"/>
            </w:pPr>
            <w:r>
              <w:rPr>
                <w:b w:val="0"/>
                <w:i w:val="0"/>
                <w:sz w:val="16"/>
              </w:rPr>
              <w:t>Casinos y máquinas tragamonedas</w:t>
            </w:r>
          </w:p>
        </w:tc>
        <w:tc>
          <w:tcPr>
            <w:tcW w:type="dxa" w:w="4309"/>
            <w:vAlign w:val="center"/>
          </w:tcPr>
          <w:p>
            <w:pPr>
              <w:spacing w:after="20" w:before="20"/>
              <w:jc w:val="left"/>
            </w:pPr>
            <w:r>
              <w:rPr>
                <w:b w:val="0"/>
                <w:i w:val="0"/>
                <w:sz w:val="16"/>
              </w:rPr>
              <w:t>Ley N.° 27153, Ley que regula la explotación de los juegos de casino y máquinas tragamonedas, y sus modificatorias</w:t>
            </w:r>
          </w:p>
        </w:tc>
        <w:tc>
          <w:tcPr>
            <w:tcW w:type="dxa" w:w="1701"/>
            <w:vAlign w:val="center"/>
          </w:tcPr>
          <w:p>
            <w:pPr>
              <w:spacing w:after="20" w:before="20"/>
              <w:jc w:val="left"/>
            </w:pPr>
            <w:r>
              <w:rPr>
                <w:b w:val="0"/>
                <w:i w:val="0"/>
                <w:sz w:val="16"/>
              </w:rPr>
              <w:t>Distancia de la ley y de la ordenanza municipal</w:t>
            </w:r>
          </w:p>
        </w:tc>
        <w:tc>
          <w:tcPr>
            <w:tcW w:type="dxa" w:w="4252"/>
            <w:vAlign w:val="center"/>
          </w:tcPr>
          <w:p>
            <w:pPr>
              <w:spacing w:after="20" w:before="20"/>
              <w:jc w:val="left"/>
            </w:pPr>
            <w:r>
              <w:rPr>
                <w:b w:val="0"/>
                <w:i w:val="0"/>
                <w:sz w:val="16"/>
              </w:rPr>
              <w:t>No existen casinos ni salas de máquinas tragamonedas en el entorno del predio.</w:t>
            </w:r>
          </w:p>
        </w:tc>
        <w:tc>
          <w:tcPr>
            <w:tcW w:type="dxa" w:w="964"/>
            <w:vAlign w:val="center"/>
          </w:tcPr>
          <w:p>
            <w:pPr>
              <w:spacing w:after="20" w:before="20"/>
              <w:jc w:val="center"/>
            </w:pPr>
            <w:r>
              <w:rPr>
                <w:b w:val="0"/>
                <w:i w:val="0"/>
                <w:sz w:val="16"/>
              </w:rPr>
              <w:t>CUMPLE</w:t>
            </w:r>
          </w:p>
        </w:tc>
      </w:tr>
      <w:tr>
        <w:trPr>
          <w:cantSplit/>
        </w:trPr>
        <w:tc>
          <w:tcPr>
            <w:tcW w:type="dxa" w:w="510"/>
            <w:vAlign w:val="center"/>
          </w:tcPr>
          <w:p>
            <w:pPr>
              <w:spacing w:after="20" w:before="20"/>
              <w:jc w:val="center"/>
            </w:pPr>
            <w:r>
              <w:rPr>
                <w:b w:val="0"/>
                <w:i w:val="0"/>
                <w:sz w:val="16"/>
              </w:rPr>
              <w:t>18</w:t>
            </w:r>
          </w:p>
        </w:tc>
        <w:tc>
          <w:tcPr>
            <w:tcW w:type="dxa" w:w="2835"/>
            <w:vAlign w:val="center"/>
          </w:tcPr>
          <w:p>
            <w:pPr>
              <w:spacing w:after="20" w:before="20"/>
              <w:jc w:val="left"/>
            </w:pPr>
            <w:r>
              <w:rPr>
                <w:b w:val="0"/>
                <w:i w:val="0"/>
                <w:sz w:val="16"/>
              </w:rPr>
              <w:t>Hostales, peñas, discotecas, video-pubs, bingos y salas de billar</w:t>
            </w:r>
          </w:p>
        </w:tc>
        <w:tc>
          <w:tcPr>
            <w:tcW w:type="dxa" w:w="4309"/>
            <w:vAlign w:val="center"/>
          </w:tcPr>
          <w:p>
            <w:pPr>
              <w:spacing w:after="20" w:before="20"/>
              <w:jc w:val="left"/>
            </w:pPr>
            <w:r>
              <w:rPr>
                <w:b w:val="0"/>
                <w:i w:val="0"/>
                <w:sz w:val="16"/>
              </w:rPr>
              <w:t>Ley N.° 27972, Ley Orgánica de Municipalidades, art. 79 (organización del espacio físico y uso del suelo)</w:t>
            </w:r>
          </w:p>
        </w:tc>
        <w:tc>
          <w:tcPr>
            <w:tcW w:type="dxa" w:w="1701"/>
            <w:vAlign w:val="center"/>
          </w:tcPr>
          <w:p>
            <w:pPr>
              <w:spacing w:after="20" w:before="20"/>
              <w:jc w:val="left"/>
            </w:pPr>
            <w:r>
              <w:rPr>
                <w:b w:val="0"/>
                <w:i w:val="0"/>
                <w:sz w:val="16"/>
              </w:rPr>
              <w:t>Zonificación y licencias municipales</w:t>
            </w:r>
          </w:p>
        </w:tc>
        <w:tc>
          <w:tcPr>
            <w:tcW w:type="dxa" w:w="4252"/>
            <w:vAlign w:val="center"/>
          </w:tcPr>
          <w:p>
            <w:pPr>
              <w:spacing w:after="20" w:before="20"/>
              <w:jc w:val="left"/>
            </w:pPr>
            <w:r>
              <w:rPr>
                <w:b w:val="0"/>
                <w:i w:val="0"/>
                <w:sz w:val="16"/>
              </w:rPr>
              <w:t>No existen hostales, peñas, discotecas, video-pubs, bingos ni salas de billar en el entorno del predio; el entorno es tranquilo, como lo requiere un hogar de refugio.</w:t>
            </w:r>
          </w:p>
        </w:tc>
        <w:tc>
          <w:tcPr>
            <w:tcW w:type="dxa" w:w="964"/>
            <w:vAlign w:val="center"/>
          </w:tcPr>
          <w:p>
            <w:pPr>
              <w:spacing w:after="20" w:before="20"/>
              <w:jc w:val="center"/>
            </w:pPr>
            <w:r>
              <w:rPr>
                <w:b w:val="0"/>
                <w:i w:val="0"/>
                <w:sz w:val="16"/>
              </w:rPr>
              <w:t>CUMPLE</w:t>
            </w:r>
          </w:p>
        </w:tc>
      </w:tr>
    </w:tbl>
    <w:p>
      <w:pPr>
        <w:spacing w:before="0" w:after="160" w:line="276" w:lineRule="auto"/>
        <w:jc w:val="both"/>
      </w:pPr>
      <w:r>
        <w:rPr>
          <w:b w:val="0"/>
          <w:i/>
          <w:color w:val="595959"/>
          <w:sz w:val="18"/>
        </w:rPr>
        <w:t>Fuente: Elaboración propia.</w:t>
      </w:r>
    </w:p>
    <w:p>
      <w:pPr>
        <w:pStyle w:val="Heading1"/>
      </w:pPr>
      <w:r>
        <w:t>5.  CONDICIONES DE UBICACIÓN PROPIAS DEL HOGAR DE REFUGIO</w:t>
      </w:r>
    </w:p>
    <w:p>
      <w:pPr>
        <w:keepNext/>
        <w:spacing w:before="80" w:after="40" w:line="276" w:lineRule="auto"/>
        <w:jc w:val="center"/>
      </w:pPr>
      <w:r>
        <w:rPr>
          <w:b/>
          <w:i w:val="0"/>
          <w:sz w:val="20"/>
        </w:rPr>
        <w:t>Tabla N.° 04: Cuadro N.° 2: condiciones de ubicación del Hogar de Refugio Temporal (lineamientos para refugios y RNE)</w:t>
      </w:r>
    </w:p>
    <w:tbl>
      <w:tblPr>
        <w:tblStyle w:val="TableGrid"/>
        <w:tblW w:type="auto" w:w="0"/>
        <w:jc w:val="center"/>
        <w:tblLayout w:type="fixed"/>
        <w:tblLook w:firstColumn="1" w:firstRow="1" w:lastColumn="0" w:lastRow="0" w:noHBand="0" w:noVBand="1" w:val="04A0"/>
      </w:tblPr>
      <w:tblGrid>
        <w:gridCol w:w="510"/>
        <w:gridCol w:w="3061"/>
        <w:gridCol w:w="2608"/>
        <w:gridCol w:w="7427"/>
        <w:gridCol w:w="963"/>
      </w:tblGrid>
      <w:tr>
        <w:trPr>
          <w:tblHeader w:val="true"/>
          <w:cantSplit/>
        </w:trPr>
        <w:tc>
          <w:tcPr>
            <w:tcW w:type="dxa" w:w="510"/>
            <w:shd w:val="clear" w:color="auto" w:fill="7B1E2B"/>
            <w:vAlign w:val="center"/>
          </w:tcPr>
          <w:p>
            <w:pPr>
              <w:keepNext/>
              <w:spacing w:after="20" w:before="20"/>
              <w:jc w:val="center"/>
            </w:pPr>
            <w:r>
              <w:rPr>
                <w:b/>
                <w:i w:val="0"/>
                <w:color w:val="FFFFFF"/>
                <w:sz w:val="16"/>
              </w:rPr>
              <w:t>N.°</w:t>
            </w:r>
          </w:p>
        </w:tc>
        <w:tc>
          <w:tcPr>
            <w:tcW w:type="dxa" w:w="3061"/>
            <w:shd w:val="clear" w:color="auto" w:fill="7B1E2B"/>
            <w:vAlign w:val="center"/>
          </w:tcPr>
          <w:p>
            <w:pPr>
              <w:keepNext/>
              <w:spacing w:after="20" w:before="20"/>
              <w:jc w:val="center"/>
            </w:pPr>
            <w:r>
              <w:rPr>
                <w:b/>
                <w:i w:val="0"/>
                <w:color w:val="FFFFFF"/>
                <w:sz w:val="16"/>
              </w:rPr>
              <w:t>CONDICIÓN DE UBICACIÓN</w:t>
            </w:r>
          </w:p>
        </w:tc>
        <w:tc>
          <w:tcPr>
            <w:tcW w:type="dxa" w:w="2608"/>
            <w:shd w:val="clear" w:color="auto" w:fill="7B1E2B"/>
            <w:vAlign w:val="center"/>
          </w:tcPr>
          <w:p>
            <w:pPr>
              <w:keepNext/>
              <w:spacing w:after="20" w:before="20"/>
              <w:jc w:val="center"/>
            </w:pPr>
            <w:r>
              <w:rPr>
                <w:b/>
                <w:i w:val="0"/>
                <w:color w:val="FFFFFF"/>
                <w:sz w:val="16"/>
              </w:rPr>
              <w:t>FUENTE</w:t>
            </w:r>
          </w:p>
        </w:tc>
        <w:tc>
          <w:tcPr>
            <w:tcW w:type="dxa" w:w="7427"/>
            <w:shd w:val="clear" w:color="auto" w:fill="7B1E2B"/>
            <w:vAlign w:val="center"/>
          </w:tcPr>
          <w:p>
            <w:pPr>
              <w:keepNext/>
              <w:spacing w:after="20" w:before="20"/>
              <w:jc w:val="center"/>
            </w:pPr>
            <w:r>
              <w:rPr>
                <w:b/>
                <w:i w:val="0"/>
                <w:color w:val="FFFFFF"/>
                <w:sz w:val="16"/>
              </w:rPr>
              <w:t>CÓMO LA CUMPLE EL PREDIO O EL PROYECTO</w:t>
            </w:r>
          </w:p>
        </w:tc>
        <w:tc>
          <w:tcPr>
            <w:tcW w:type="dxa" w:w="964"/>
            <w:shd w:val="clear" w:color="auto" w:fill="7B1E2B"/>
            <w:vAlign w:val="center"/>
          </w:tcPr>
          <w:p>
            <w:pPr>
              <w:keepNext/>
              <w:spacing w:after="20" w:before="20"/>
              <w:jc w:val="center"/>
            </w:pPr>
            <w:r>
              <w:rPr>
                <w:b/>
                <w:i w:val="0"/>
                <w:color w:val="FFFFFF"/>
                <w:sz w:val="16"/>
              </w:rPr>
              <w:t>ESTADO</w:t>
            </w:r>
          </w:p>
        </w:tc>
      </w:tr>
      <w:tr>
        <w:trPr>
          <w:cantSplit/>
        </w:trPr>
        <w:tc>
          <w:tcPr>
            <w:tcW w:type="dxa" w:w="510"/>
            <w:vAlign w:val="center"/>
          </w:tcPr>
          <w:p>
            <w:pPr>
              <w:keepNext/>
              <w:spacing w:after="20" w:before="20"/>
              <w:jc w:val="center"/>
            </w:pPr>
            <w:r>
              <w:rPr>
                <w:b w:val="0"/>
                <w:i w:val="0"/>
                <w:sz w:val="16"/>
              </w:rPr>
              <w:t>1</w:t>
            </w:r>
          </w:p>
        </w:tc>
        <w:tc>
          <w:tcPr>
            <w:tcW w:type="dxa" w:w="3061"/>
            <w:vAlign w:val="center"/>
          </w:tcPr>
          <w:p>
            <w:pPr>
              <w:keepNext/>
              <w:spacing w:after="20" w:before="20"/>
              <w:jc w:val="left"/>
            </w:pPr>
            <w:r>
              <w:rPr>
                <w:b w:val="0"/>
                <w:i w:val="0"/>
                <w:sz w:val="16"/>
              </w:rPr>
              <w:t>Ubicación en zona compatible con la zonificación vigente</w:t>
            </w:r>
          </w:p>
        </w:tc>
        <w:tc>
          <w:tcPr>
            <w:tcW w:type="dxa" w:w="2608"/>
            <w:vAlign w:val="center"/>
          </w:tcPr>
          <w:p>
            <w:pPr>
              <w:keepNext/>
              <w:spacing w:after="20" w:before="20"/>
              <w:jc w:val="left"/>
            </w:pPr>
            <w:r>
              <w:rPr>
                <w:b w:val="0"/>
                <w:i w:val="0"/>
                <w:sz w:val="16"/>
              </w:rPr>
              <w:t>RNE A.090, art. 3</w:t>
            </w:r>
          </w:p>
        </w:tc>
        <w:tc>
          <w:tcPr>
            <w:tcW w:type="dxa" w:w="7427"/>
            <w:vAlign w:val="center"/>
          </w:tcPr>
          <w:p>
            <w:pPr>
              <w:keepNext/>
              <w:spacing w:after="20" w:before="20"/>
              <w:jc w:val="left"/>
            </w:pPr>
            <w:r>
              <w:rPr>
                <w:b w:val="0"/>
                <w:i w:val="0"/>
                <w:sz w:val="16"/>
              </w:rPr>
              <w:t>Predio rural Los Mangos, de propiedad del Gobierno Regional, destinado a servicios de protección social del Estado junto con el CAR Varones y el CAR Mujeres.</w:t>
            </w:r>
          </w:p>
        </w:tc>
        <w:tc>
          <w:tcPr>
            <w:tcW w:type="dxa" w:w="964"/>
            <w:vAlign w:val="center"/>
          </w:tcPr>
          <w:p>
            <w:pPr>
              <w:keepNext/>
              <w:spacing w:after="20" w:before="20"/>
              <w:jc w:val="center"/>
            </w:pPr>
            <w:r>
              <w:rPr>
                <w:b w:val="0"/>
                <w:i w:val="0"/>
                <w:sz w:val="16"/>
              </w:rPr>
              <w:t>CUMPLE</w:t>
            </w:r>
          </w:p>
        </w:tc>
      </w:tr>
      <w:tr>
        <w:trPr>
          <w:cantSplit/>
        </w:trPr>
        <w:tc>
          <w:tcPr>
            <w:tcW w:type="dxa" w:w="510"/>
            <w:vAlign w:val="center"/>
          </w:tcPr>
          <w:p>
            <w:pPr>
              <w:keepNext/>
              <w:spacing w:after="20" w:before="20"/>
              <w:jc w:val="center"/>
            </w:pPr>
            <w:r>
              <w:rPr>
                <w:b w:val="0"/>
                <w:i w:val="0"/>
                <w:sz w:val="16"/>
              </w:rPr>
              <w:t>2</w:t>
            </w:r>
          </w:p>
        </w:tc>
        <w:tc>
          <w:tcPr>
            <w:tcW w:type="dxa" w:w="3061"/>
            <w:vAlign w:val="center"/>
          </w:tcPr>
          <w:p>
            <w:pPr>
              <w:keepNext/>
              <w:spacing w:after="20" w:before="20"/>
              <w:jc w:val="left"/>
            </w:pPr>
            <w:r>
              <w:rPr>
                <w:b w:val="0"/>
                <w:i w:val="0"/>
                <w:sz w:val="16"/>
              </w:rPr>
              <w:t>Zona tranquila y no aislada</w:t>
            </w:r>
          </w:p>
        </w:tc>
        <w:tc>
          <w:tcPr>
            <w:tcW w:type="dxa" w:w="2608"/>
            <w:vAlign w:val="center"/>
          </w:tcPr>
          <w:p>
            <w:pPr>
              <w:keepNext/>
              <w:spacing w:after="20" w:before="20"/>
              <w:jc w:val="left"/>
            </w:pPr>
            <w:r>
              <w:rPr>
                <w:b w:val="0"/>
                <w:i w:val="0"/>
                <w:sz w:val="16"/>
              </w:rPr>
              <w:t>Lineamientos ONU-Habitat / CONAVIM, num. 2.1</w:t>
            </w:r>
          </w:p>
        </w:tc>
        <w:tc>
          <w:tcPr>
            <w:tcW w:type="dxa" w:w="7427"/>
            <w:vAlign w:val="center"/>
          </w:tcPr>
          <w:p>
            <w:pPr>
              <w:keepNext/>
              <w:spacing w:after="20" w:before="20"/>
              <w:jc w:val="left"/>
            </w:pPr>
            <w:r>
              <w:rPr>
                <w:b w:val="0"/>
                <w:i w:val="0"/>
                <w:sz w:val="16"/>
              </w:rPr>
              <w:t>Entorno urbano de Morales y Tarapoto, con frente a la carretera Oasis y colindante con otros servicios de protección; sin bares, discotecas ni casinos en el entorno (Cuadro N.° 1, filas 5, 17 y 18).</w:t>
            </w:r>
          </w:p>
        </w:tc>
        <w:tc>
          <w:tcPr>
            <w:tcW w:type="dxa" w:w="964"/>
            <w:vAlign w:val="center"/>
          </w:tcPr>
          <w:p>
            <w:pPr>
              <w:keepNext/>
              <w:spacing w:after="20" w:before="20"/>
              <w:jc w:val="center"/>
            </w:pPr>
            <w:r>
              <w:rPr>
                <w:b w:val="0"/>
                <w:i w:val="0"/>
                <w:sz w:val="16"/>
              </w:rPr>
              <w:t>CUMPLE</w:t>
            </w:r>
          </w:p>
        </w:tc>
      </w:tr>
      <w:tr>
        <w:trPr>
          <w:cantSplit/>
        </w:trPr>
        <w:tc>
          <w:tcPr>
            <w:tcW w:type="dxa" w:w="510"/>
            <w:vAlign w:val="center"/>
          </w:tcPr>
          <w:p>
            <w:pPr>
              <w:keepNext/>
              <w:spacing w:after="20" w:before="20"/>
              <w:jc w:val="center"/>
            </w:pPr>
            <w:r>
              <w:rPr>
                <w:b w:val="0"/>
                <w:i w:val="0"/>
                <w:sz w:val="16"/>
              </w:rPr>
              <w:t>3</w:t>
            </w:r>
          </w:p>
        </w:tc>
        <w:tc>
          <w:tcPr>
            <w:tcW w:type="dxa" w:w="3061"/>
            <w:vAlign w:val="center"/>
          </w:tcPr>
          <w:p>
            <w:pPr>
              <w:keepNext/>
              <w:spacing w:after="20" w:before="20"/>
              <w:jc w:val="left"/>
            </w:pPr>
            <w:r>
              <w:rPr>
                <w:b w:val="0"/>
                <w:i w:val="0"/>
                <w:sz w:val="16"/>
              </w:rPr>
              <w:t>Servicios e instituciones de apoyo cercanos (salud, seguridad y justicia)</w:t>
            </w:r>
          </w:p>
        </w:tc>
        <w:tc>
          <w:tcPr>
            <w:tcW w:type="dxa" w:w="2608"/>
            <w:vAlign w:val="center"/>
          </w:tcPr>
          <w:p>
            <w:pPr>
              <w:keepNext/>
              <w:spacing w:after="20" w:before="20"/>
              <w:jc w:val="left"/>
            </w:pPr>
            <w:r>
              <w:rPr>
                <w:b w:val="0"/>
                <w:i w:val="0"/>
                <w:sz w:val="16"/>
              </w:rPr>
              <w:t>Lineamientos, num. 2.1</w:t>
            </w:r>
          </w:p>
        </w:tc>
        <w:tc>
          <w:tcPr>
            <w:tcW w:type="dxa" w:w="7427"/>
            <w:vAlign w:val="center"/>
          </w:tcPr>
          <w:p>
            <w:pPr>
              <w:keepNext/>
              <w:spacing w:after="20" w:before="20"/>
              <w:jc w:val="left"/>
            </w:pPr>
            <w:r>
              <w:rPr>
                <w:b w:val="0"/>
                <w:i w:val="0"/>
                <w:sz w:val="16"/>
              </w:rPr>
              <w:t>Servicios de salud, seguridad y justicia del distrito de Morales y de la ciudad de Tarapoto en el entorno urbano; el establecimiento de salud de la localidad está a más de 100 m (Cuadro N.° 1, fila 2).</w:t>
            </w:r>
          </w:p>
        </w:tc>
        <w:tc>
          <w:tcPr>
            <w:tcW w:type="dxa" w:w="964"/>
            <w:vAlign w:val="center"/>
          </w:tcPr>
          <w:p>
            <w:pPr>
              <w:keepNext/>
              <w:spacing w:after="20" w:before="20"/>
              <w:jc w:val="center"/>
            </w:pPr>
            <w:r>
              <w:rPr>
                <w:b w:val="0"/>
                <w:i w:val="0"/>
                <w:sz w:val="16"/>
              </w:rPr>
              <w:t>CUMPLE</w:t>
            </w:r>
          </w:p>
        </w:tc>
      </w:tr>
      <w:tr>
        <w:trPr>
          <w:cantSplit/>
        </w:trPr>
        <w:tc>
          <w:tcPr>
            <w:tcW w:type="dxa" w:w="510"/>
            <w:vAlign w:val="center"/>
          </w:tcPr>
          <w:p>
            <w:pPr>
              <w:keepNext/>
              <w:spacing w:after="20" w:before="20"/>
              <w:jc w:val="center"/>
            </w:pPr>
            <w:r>
              <w:rPr>
                <w:b w:val="0"/>
                <w:i w:val="0"/>
                <w:sz w:val="16"/>
              </w:rPr>
              <w:t>4</w:t>
            </w:r>
          </w:p>
        </w:tc>
        <w:tc>
          <w:tcPr>
            <w:tcW w:type="dxa" w:w="3061"/>
            <w:vAlign w:val="center"/>
          </w:tcPr>
          <w:p>
            <w:pPr>
              <w:keepNext/>
              <w:spacing w:after="20" w:before="20"/>
              <w:jc w:val="left"/>
            </w:pPr>
            <w:r>
              <w:rPr>
                <w:b w:val="0"/>
                <w:i w:val="0"/>
                <w:sz w:val="16"/>
              </w:rPr>
              <w:t>Accesos vehicular y peatonal, sin estudio de impacto vial</w:t>
            </w:r>
          </w:p>
        </w:tc>
        <w:tc>
          <w:tcPr>
            <w:tcW w:type="dxa" w:w="2608"/>
            <w:vAlign w:val="center"/>
          </w:tcPr>
          <w:p>
            <w:pPr>
              <w:keepNext/>
              <w:spacing w:after="20" w:before="20"/>
              <w:jc w:val="left"/>
            </w:pPr>
            <w:r>
              <w:rPr>
                <w:b w:val="0"/>
                <w:i w:val="0"/>
                <w:sz w:val="16"/>
              </w:rPr>
              <w:t>Lineamientos, num. 2.1 y 2.6; RNE A.090, art. 4</w:t>
            </w:r>
          </w:p>
        </w:tc>
        <w:tc>
          <w:tcPr>
            <w:tcW w:type="dxa" w:w="7427"/>
            <w:vAlign w:val="center"/>
          </w:tcPr>
          <w:p>
            <w:pPr>
              <w:keepNext/>
              <w:spacing w:after="20" w:before="20"/>
              <w:jc w:val="left"/>
            </w:pPr>
            <w:r>
              <w:rPr>
                <w:b w:val="0"/>
                <w:i w:val="0"/>
                <w:sz w:val="16"/>
              </w:rPr>
              <w:t>Acceso por la carretera Oasis, con ingreso principal y de servicio controlados. La población del hogar es menor de 500 personas, por lo que la A.090 (art. 4) no exige estudio de impacto vial.</w:t>
            </w:r>
          </w:p>
        </w:tc>
        <w:tc>
          <w:tcPr>
            <w:tcW w:type="dxa" w:w="964"/>
            <w:vAlign w:val="center"/>
          </w:tcPr>
          <w:p>
            <w:pPr>
              <w:keepNext/>
              <w:spacing w:after="20" w:before="20"/>
              <w:jc w:val="center"/>
            </w:pPr>
            <w:r>
              <w:rPr>
                <w:b w:val="0"/>
                <w:i w:val="0"/>
                <w:sz w:val="16"/>
              </w:rPr>
              <w:t>CUMPLE</w:t>
            </w:r>
          </w:p>
        </w:tc>
      </w:tr>
      <w:tr>
        <w:trPr>
          <w:cantSplit/>
        </w:trPr>
        <w:tc>
          <w:tcPr>
            <w:tcW w:type="dxa" w:w="510"/>
            <w:vAlign w:val="center"/>
          </w:tcPr>
          <w:p>
            <w:pPr>
              <w:keepNext/>
              <w:spacing w:after="20" w:before="20"/>
              <w:jc w:val="center"/>
            </w:pPr>
            <w:r>
              <w:rPr>
                <w:b w:val="0"/>
                <w:i w:val="0"/>
                <w:sz w:val="16"/>
              </w:rPr>
              <w:t>5</w:t>
            </w:r>
          </w:p>
        </w:tc>
        <w:tc>
          <w:tcPr>
            <w:tcW w:type="dxa" w:w="3061"/>
            <w:vAlign w:val="center"/>
          </w:tcPr>
          <w:p>
            <w:pPr>
              <w:keepNext/>
              <w:spacing w:after="20" w:before="20"/>
              <w:jc w:val="left"/>
            </w:pPr>
            <w:r>
              <w:rPr>
                <w:b w:val="0"/>
                <w:i w:val="0"/>
                <w:sz w:val="16"/>
              </w:rPr>
              <w:t>Seguridad frente a agresiones externas</w:t>
            </w:r>
          </w:p>
        </w:tc>
        <w:tc>
          <w:tcPr>
            <w:tcW w:type="dxa" w:w="2608"/>
            <w:vAlign w:val="center"/>
          </w:tcPr>
          <w:p>
            <w:pPr>
              <w:keepNext/>
              <w:spacing w:after="20" w:before="20"/>
              <w:jc w:val="left"/>
            </w:pPr>
            <w:r>
              <w:rPr>
                <w:b w:val="0"/>
                <w:i w:val="0"/>
                <w:sz w:val="16"/>
              </w:rPr>
              <w:t>Lineamientos, num. 2.4</w:t>
            </w:r>
          </w:p>
        </w:tc>
        <w:tc>
          <w:tcPr>
            <w:tcW w:type="dxa" w:w="7427"/>
            <w:vAlign w:val="center"/>
          </w:tcPr>
          <w:p>
            <w:pPr>
              <w:keepNext/>
              <w:spacing w:after="20" w:before="20"/>
              <w:jc w:val="left"/>
            </w:pPr>
            <w:r>
              <w:rPr>
                <w:b w:val="0"/>
                <w:i w:val="0"/>
                <w:sz w:val="16"/>
              </w:rPr>
              <w:t>Recinto con cerco perimétrico, caseta de control en los accesos y cuarto de cámaras del circuito cerrado de vigilancia.</w:t>
            </w:r>
          </w:p>
        </w:tc>
        <w:tc>
          <w:tcPr>
            <w:tcW w:type="dxa" w:w="964"/>
            <w:vAlign w:val="center"/>
          </w:tcPr>
          <w:p>
            <w:pPr>
              <w:keepNext/>
              <w:spacing w:after="20" w:before="20"/>
              <w:jc w:val="center"/>
            </w:pPr>
            <w:r>
              <w:rPr>
                <w:b w:val="0"/>
                <w:i w:val="0"/>
                <w:sz w:val="16"/>
              </w:rPr>
              <w:t>CUMPLE</w:t>
            </w:r>
          </w:p>
        </w:tc>
      </w:tr>
      <w:tr>
        <w:trPr>
          <w:cantSplit/>
        </w:trPr>
        <w:tc>
          <w:tcPr>
            <w:tcW w:type="dxa" w:w="510"/>
            <w:vAlign w:val="center"/>
          </w:tcPr>
          <w:p>
            <w:pPr>
              <w:keepNext/>
              <w:spacing w:after="20" w:before="20"/>
              <w:jc w:val="center"/>
            </w:pPr>
            <w:r>
              <w:rPr>
                <w:b w:val="0"/>
                <w:i w:val="0"/>
                <w:sz w:val="16"/>
              </w:rPr>
              <w:t>6</w:t>
            </w:r>
          </w:p>
        </w:tc>
        <w:tc>
          <w:tcPr>
            <w:tcW w:type="dxa" w:w="3061"/>
            <w:vAlign w:val="center"/>
          </w:tcPr>
          <w:p>
            <w:pPr>
              <w:keepNext/>
              <w:spacing w:after="20" w:before="20"/>
              <w:jc w:val="left"/>
            </w:pPr>
            <w:r>
              <w:rPr>
                <w:b w:val="0"/>
                <w:i w:val="0"/>
                <w:sz w:val="16"/>
              </w:rPr>
              <w:t>Reserva del uso y privacidad de las residentes</w:t>
            </w:r>
          </w:p>
        </w:tc>
        <w:tc>
          <w:tcPr>
            <w:tcW w:type="dxa" w:w="2608"/>
            <w:vAlign w:val="center"/>
          </w:tcPr>
          <w:p>
            <w:pPr>
              <w:keepNext/>
              <w:spacing w:after="20" w:before="20"/>
              <w:jc w:val="left"/>
            </w:pPr>
            <w:r>
              <w:rPr>
                <w:b w:val="0"/>
                <w:i w:val="0"/>
                <w:sz w:val="16"/>
              </w:rPr>
              <w:t>Lineamientos, num. 2.2 y 2.3</w:t>
            </w:r>
          </w:p>
        </w:tc>
        <w:tc>
          <w:tcPr>
            <w:tcW w:type="dxa" w:w="7427"/>
            <w:vAlign w:val="center"/>
          </w:tcPr>
          <w:p>
            <w:pPr>
              <w:keepNext/>
              <w:spacing w:after="20" w:before="20"/>
              <w:jc w:val="left"/>
            </w:pPr>
            <w:r>
              <w:rPr>
                <w:b w:val="0"/>
                <w:i w:val="0"/>
                <w:sz w:val="16"/>
              </w:rPr>
              <w:t>Conjunto de edificaciones dentro de un recinto cercado, sin anuncios que revelen el uso; los predios colindantes son servicios del Estado de acceso restringido.</w:t>
            </w:r>
          </w:p>
        </w:tc>
        <w:tc>
          <w:tcPr>
            <w:tcW w:type="dxa" w:w="964"/>
            <w:vAlign w:val="center"/>
          </w:tcPr>
          <w:p>
            <w:pPr>
              <w:keepNext/>
              <w:spacing w:after="20" w:before="20"/>
              <w:jc w:val="center"/>
            </w:pPr>
            <w:r>
              <w:rPr>
                <w:b w:val="0"/>
                <w:i w:val="0"/>
                <w:sz w:val="16"/>
              </w:rPr>
              <w:t>CUMPLE</w:t>
            </w:r>
          </w:p>
        </w:tc>
      </w:tr>
      <w:tr>
        <w:trPr>
          <w:cantSplit/>
        </w:trPr>
        <w:tc>
          <w:tcPr>
            <w:tcW w:type="dxa" w:w="510"/>
            <w:vAlign w:val="center"/>
          </w:tcPr>
          <w:p>
            <w:pPr>
              <w:keepNext/>
              <w:spacing w:after="20" w:before="20"/>
              <w:jc w:val="center"/>
            </w:pPr>
            <w:r>
              <w:rPr>
                <w:b w:val="0"/>
                <w:i w:val="0"/>
                <w:sz w:val="16"/>
              </w:rPr>
              <w:t>7</w:t>
            </w:r>
          </w:p>
        </w:tc>
        <w:tc>
          <w:tcPr>
            <w:tcW w:type="dxa" w:w="3061"/>
            <w:vAlign w:val="center"/>
          </w:tcPr>
          <w:p>
            <w:pPr>
              <w:keepNext/>
              <w:spacing w:after="20" w:before="20"/>
              <w:jc w:val="left"/>
            </w:pPr>
            <w:r>
              <w:rPr>
                <w:b w:val="0"/>
                <w:i w:val="0"/>
                <w:sz w:val="16"/>
              </w:rPr>
              <w:t>Servicios básicos</w:t>
            </w:r>
          </w:p>
        </w:tc>
        <w:tc>
          <w:tcPr>
            <w:tcW w:type="dxa" w:w="2608"/>
            <w:vAlign w:val="center"/>
          </w:tcPr>
          <w:p>
            <w:pPr>
              <w:keepNext/>
              <w:spacing w:after="20" w:before="20"/>
              <w:jc w:val="left"/>
            </w:pPr>
            <w:r>
              <w:rPr>
                <w:b w:val="0"/>
                <w:i w:val="0"/>
                <w:sz w:val="16"/>
              </w:rPr>
              <w:t>Lineamientos, num. 2.8; RNE A.040, art. 7 d)</w:t>
            </w:r>
          </w:p>
        </w:tc>
        <w:tc>
          <w:tcPr>
            <w:tcW w:type="dxa" w:w="7427"/>
            <w:vAlign w:val="center"/>
          </w:tcPr>
          <w:p>
            <w:pPr>
              <w:keepNext/>
              <w:spacing w:after="20" w:before="20"/>
              <w:jc w:val="left"/>
            </w:pPr>
            <w:r>
              <w:rPr>
                <w:b w:val="0"/>
                <w:i w:val="0"/>
                <w:sz w:val="16"/>
              </w:rPr>
              <w:t>El proyecto contempla cisterna y tanque elevado, tratamiento de aguas residuales, subestación eléctrica, grupo electrógeno y drenaje pluvial.</w:t>
            </w:r>
          </w:p>
        </w:tc>
        <w:tc>
          <w:tcPr>
            <w:tcW w:type="dxa" w:w="964"/>
            <w:vAlign w:val="center"/>
          </w:tcPr>
          <w:p>
            <w:pPr>
              <w:keepNext/>
              <w:spacing w:after="20" w:before="20"/>
              <w:jc w:val="center"/>
            </w:pPr>
            <w:r>
              <w:rPr>
                <w:b w:val="0"/>
                <w:i w:val="0"/>
                <w:sz w:val="16"/>
              </w:rPr>
              <w:t>CUMPLE</w:t>
            </w:r>
          </w:p>
        </w:tc>
      </w:tr>
      <w:tr>
        <w:trPr>
          <w:cantSplit/>
        </w:trPr>
        <w:tc>
          <w:tcPr>
            <w:tcW w:type="dxa" w:w="510"/>
            <w:vAlign w:val="center"/>
          </w:tcPr>
          <w:p>
            <w:pPr>
              <w:spacing w:after="20" w:before="20"/>
              <w:jc w:val="center"/>
            </w:pPr>
            <w:r>
              <w:rPr>
                <w:b w:val="0"/>
                <w:i w:val="0"/>
                <w:sz w:val="16"/>
              </w:rPr>
              <w:t>8</w:t>
            </w:r>
          </w:p>
        </w:tc>
        <w:tc>
          <w:tcPr>
            <w:tcW w:type="dxa" w:w="3061"/>
            <w:vAlign w:val="center"/>
          </w:tcPr>
          <w:p>
            <w:pPr>
              <w:spacing w:after="20" w:before="20"/>
              <w:jc w:val="left"/>
            </w:pPr>
            <w:r>
              <w:rPr>
                <w:b w:val="0"/>
                <w:i w:val="0"/>
                <w:sz w:val="16"/>
              </w:rPr>
              <w:t>Protección frente a lluvias intensas</w:t>
            </w:r>
          </w:p>
        </w:tc>
        <w:tc>
          <w:tcPr>
            <w:tcW w:type="dxa" w:w="2608"/>
            <w:vAlign w:val="center"/>
          </w:tcPr>
          <w:p>
            <w:pPr>
              <w:spacing w:after="20" w:before="20"/>
              <w:jc w:val="left"/>
            </w:pPr>
            <w:r>
              <w:rPr>
                <w:b w:val="0"/>
                <w:i w:val="0"/>
                <w:sz w:val="16"/>
              </w:rPr>
              <w:t>RNE OS.060 (drenaje pluvial urbano)</w:t>
            </w:r>
          </w:p>
        </w:tc>
        <w:tc>
          <w:tcPr>
            <w:tcW w:type="dxa" w:w="7427"/>
            <w:vAlign w:val="center"/>
          </w:tcPr>
          <w:p>
            <w:pPr>
              <w:spacing w:after="20" w:before="20"/>
              <w:jc w:val="left"/>
            </w:pPr>
            <w:r>
              <w:rPr>
                <w:b w:val="0"/>
                <w:i w:val="0"/>
                <w:sz w:val="16"/>
              </w:rPr>
              <w:t>Drenaje pluvial del predio con colector frontal y cunetas, dimensionado con la hidrología del expediente; las obras quedan dentro del lindero.</w:t>
            </w:r>
          </w:p>
        </w:tc>
        <w:tc>
          <w:tcPr>
            <w:tcW w:type="dxa" w:w="964"/>
            <w:vAlign w:val="center"/>
          </w:tcPr>
          <w:p>
            <w:pPr>
              <w:spacing w:after="20" w:before="20"/>
              <w:jc w:val="center"/>
            </w:pPr>
            <w:r>
              <w:rPr>
                <w:b w:val="0"/>
                <w:i w:val="0"/>
                <w:sz w:val="16"/>
              </w:rPr>
              <w:t>CUMPLE</w:t>
            </w:r>
          </w:p>
        </w:tc>
      </w:tr>
    </w:tbl>
    <w:p>
      <w:pPr>
        <w:spacing w:before="0" w:after="160" w:line="276" w:lineRule="auto"/>
        <w:jc w:val="both"/>
      </w:pPr>
      <w:r>
        <w:rPr>
          <w:b w:val="0"/>
          <w:i/>
          <w:color w:val="595959"/>
          <w:sz w:val="18"/>
        </w:rPr>
        <w:t>Fuente: Elaboración propia.</w:t>
      </w:r>
    </w:p>
    <w:p>
      <w:pPr>
        <w:sectPr>
          <w:pgSz w:w="16838" w:h="11906" w:orient="landscape"/>
          <w:pgMar w:top="1417" w:right="1134" w:bottom="1134" w:left="1134" w:header="720" w:footer="720" w:gutter="0"/>
          <w:cols w:space="720"/>
          <w:docGrid w:linePitch="360"/>
        </w:sectPr>
      </w:pPr>
    </w:p>
    <w:p>
      <w:pPr>
        <w:pStyle w:val="Heading1"/>
      </w:pPr>
      <w:r>
        <w:t>6.  CONCLUSIONES</w:t>
      </w:r>
    </w:p>
    <w:p>
      <w:pPr>
        <w:spacing w:before="0" w:after="60" w:line="276" w:lineRule="auto"/>
        <w:ind w:left="510" w:hanging="255"/>
        <w:jc w:val="both"/>
      </w:pPr>
      <w:r>
        <w:rPr>
          <w:b w:val="0"/>
          <w:i w:val="0"/>
        </w:rPr>
        <w:t>•  El predio cumple las 18 condiciones del Cuadro N.° 1: no existen dentro de su área de influencia las actividades, instalaciones ni servidumbres que la normativa sectorial considera incompatibles con la permanencia de mujeres, niñas y niños.</w:t>
      </w:r>
    </w:p>
    <w:p>
      <w:pPr>
        <w:spacing w:before="0" w:after="60" w:line="276" w:lineRule="auto"/>
        <w:ind w:left="510" w:hanging="255"/>
        <w:jc w:val="both"/>
      </w:pPr>
      <w:r>
        <w:rPr>
          <w:b w:val="0"/>
          <w:i w:val="0"/>
        </w:rPr>
        <w:t>•  El predio y el proyecto cumplen las 8 condiciones de ubicación propias del Hogar de Refugio Temporal (Cuadro N.° 2): zona compatible, tranquila y no aislada, con servicios de apoyo cercanos, accesos controlados, seguridad perimetral, reserva del uso, servicios básicos y drenaje pluvial.</w:t>
      </w:r>
    </w:p>
    <w:p>
      <w:pPr>
        <w:spacing w:before="0" w:after="60" w:line="276" w:lineRule="auto"/>
        <w:ind w:left="510" w:hanging="255"/>
        <w:jc w:val="both"/>
      </w:pPr>
      <w:r>
        <w:rPr>
          <w:b w:val="0"/>
          <w:i w:val="0"/>
        </w:rPr>
        <w:t>•  La ubicación cumple la Norma A.090 (arts. 3 y 4) y la Norma A.040 (art. 7 b): el hogar se emplaza en una zona compatible, sin incompatibilidades de uso y sin necesidad de estudio de impacto vial.</w:t>
      </w:r>
    </w:p>
    <w:p>
      <w:pPr>
        <w:spacing w:before="0" w:after="60" w:line="276" w:lineRule="auto"/>
        <w:ind w:left="510" w:hanging="255"/>
        <w:jc w:val="both"/>
      </w:pPr>
      <w:r>
        <w:rPr>
          <w:b w:val="0"/>
          <w:i w:val="0"/>
        </w:rPr>
        <w:t>•  Los colindantes (CAR Varones y CAR Mujeres) son servicios de protección de la misma naturaleza, y la carretera Oasis da acceso al predio sin que las obras ocupen su faja.</w:t>
      </w:r>
    </w:p>
    <w:p>
      <w:pPr>
        <w:spacing w:before="0" w:after="60" w:line="276" w:lineRule="auto"/>
        <w:ind w:left="510" w:hanging="255"/>
        <w:jc w:val="both"/>
      </w:pPr>
      <w:r>
        <w:rPr>
          <w:b w:val="0"/>
          <w:i w:val="0"/>
        </w:rPr>
        <w:t>•  Por lo expuesto, el terreno es apto para el Hogar de Refugio Temporal para mujeres víctimas de violencia.</w:t>
      </w:r>
    </w:p>
    <w:sectPr w:rsidR="00FC693F" w:rsidRPr="0006063C" w:rsidSect="00034616">
      <w:pgSz w:w="11906" w:h="16838"/>
      <w:pgMar w:top="1417"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595959"/>
        <w:sz w:val="17"/>
      </w:rPr>
      <w:t xml:space="preserve">Página </w:t>
    </w:r>
    <w:r>
      <w:rPr>
        <w:b w:val="0"/>
        <w:i w:val="0"/>
        <w:color w:val="595959"/>
        <w:sz w:val="17"/>
      </w:rPr>
      <w:fldChar w:fldCharType="begin"/>
    </w:r>
    <w:r>
      <w:rPr>
        <w:b w:val="0"/>
        <w:i w:val="0"/>
        <w:color w:val="595959"/>
        <w:sz w:val="17"/>
      </w:rPr>
      <w:instrText xml:space="preserve">PAGE</w:instrText>
    </w:r>
    <w:r>
      <w:rPr>
        <w:b w:val="0"/>
        <w:i w:val="0"/>
        <w:color w:val="595959"/>
        <w:sz w:val="17"/>
      </w:rPr>
      <w:fldChar w:fldCharType="separate"/>
    </w:r>
    <w:r>
      <w:rPr>
        <w:b w:val="0"/>
        <w:i w:val="0"/>
        <w:color w:val="595959"/>
        <w:sz w:val="17"/>
      </w:rPr>
      <w:t>1</w:t>
    </w:r>
    <w:r>
      <w:rPr>
        <w:b w:val="0"/>
        <w:i w:val="0"/>
        <w:color w:val="595959"/>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2" w:color="7B1E2B"/>
      </w:pBdr>
      <w:jc w:val="center"/>
    </w:pPr>
    <w:r>
      <w:rPr>
        <w:b/>
        <w:i w:val="0"/>
        <w:color w:val="7B1E2B"/>
        <w:sz w:val="16"/>
      </w:rPr>
      <w:t>INCOMPATIBILIDADES DE UBICACIÓN - ARQUITECTURA</w:t>
    </w:r>
    <w:r>
      <w:rPr>
        <w:b w:val="0"/>
        <w:i w:val="0"/>
        <w:color w:val="7B1E2B"/>
        <w:sz w:val="16"/>
      </w:rPr>
      <w:t xml:space="preserve">   |   HOGAR DE REFUGIO TEMPORAL - CUI N.° 2675514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Narrow" w:hAnsi="Arial Narrow" w:eastAsia="Arial Narrow"/>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Narrow" w:hAnsi="Arial Narrow" w:eastAsia="Arial Narrow" w:cs="Arial Narrow"/>
      <w:b/>
      <w:bCs/>
      <w:color w:val="7B1E2B"/>
      <w:sz w:val="26"/>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Arial Narrow" w:hAnsi="Arial Narrow" w:eastAsia="Arial Narrow" w:cs="Arial Narrow"/>
      <w:b/>
      <w:bCs/>
      <w:color w:val="7B1E2B"/>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header" Target="header1.xm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incompatibilidades de ubicación - Hogar de Refugio Temporal</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