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7B1E2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7B1E2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2"/>
        </w:rPr>
        <w:t>EXPEDIENTE TÉCNICO DEL PROYECTO DE INVERSIÓN: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23"/>
        </w:rPr>
        <w:t>CUI N° 2705619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car_varone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Centro de Acogida Residencial - Varones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7B1E2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INCOMPATIBILIDADES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DE UBICACIÓN DEL PROYECTO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F2D7DB"/>
                <w:spacing w:val="4"/>
              </w:rPr>
              <w:t>ESPECIALIDAD: ARQUITECTURA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7B1E2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7B1E2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7B1E2B"/>
                <w:spacing w:val="6"/>
              </w:rPr>
              <w:t xml:space="preserve">   OCTUBRE - 2026</w:t>
            </w:r>
          </w:p>
        </w:tc>
      </w:tr>
    </w:tbl>
    <w:p>
      <w:pPr>
        <w:sectPr>
          <w:pgSz w:w="11906" w:h="16838"/>
          <w:pgMar w:top="1417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1.  GENERALIDADES</w:t>
      </w:r>
    </w:p>
    <w:p>
      <w:pPr>
        <w:pStyle w:val="Heading2"/>
      </w:pPr>
      <w:r>
        <w:t>1.1  Objeto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presente análisis verifica que el terreno del proyecto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2705619, es apto para el Centro de Acogida Residencial - Varones: que no presenta incompatibilidades de uso por cercanía a actividades, instalaciones o servidumbres reguladas por la normativa vigente, y que reúne las condiciones de ubicación que exige el RNE.</w:t>
      </w:r>
    </w:p>
    <w:p>
      <w:pPr>
        <w:pStyle w:val="Heading2"/>
      </w:pPr>
      <w:r>
        <w:t>1.2  El servicio y sus exigencias de ubicación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CAR Varones brinda acogimiento residencial, alimentación, protección y atención integral a niños y adolescentes varones sin cuidados parentales o en riesgo de perderlos, en el marco del Decreto Legislativo N.° 1297 y su Reglamento. Al residir en él niños y adolescentes, su ubicación debe evitar las actividades e instalaciones que la normativa sectorial considera incompatibles con su permanencia, y contar con accesos seguros, servicios básicos y un entorno tranquilo.</w:t>
      </w:r>
    </w:p>
    <w:p>
      <w:pPr>
        <w:pStyle w:val="Heading2"/>
      </w:pPr>
      <w:r>
        <w:t>1.3  Ubicación del terreno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Predio rural Los Mangos, distrito de Morales, provincia y departamento de San Martín, dentro del casco urbano de Morales, con acceso por la carretera Oasis. El terreno del CAR es la poligonal resultante P1-P2-P3-P4 del estudio topográfico: rectángulo de 93.90 x 74.55 m, 6,999.98 m² y 336.89 m de perímetro (UTM WGS84, zona 18 Sur; P1: E 345 700.464, N 9 282 864.028).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Colindantes del terreno del CAR Varones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948"/>
        <w:gridCol w:w="4082"/>
      </w:tblGrid>
      <w:tr>
        <w:trPr>
          <w:tblHeader w:val="true"/>
        </w:trPr>
        <w:tc>
          <w:tcPr>
            <w:tcW w:type="dxa" w:w="204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LADO</w:t>
            </w:r>
          </w:p>
        </w:tc>
        <w:tc>
          <w:tcPr>
            <w:tcW w:type="dxa" w:w="294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COLINDANTE</w:t>
            </w:r>
          </w:p>
        </w:tc>
        <w:tc>
          <w:tcPr>
            <w:tcW w:type="dxa" w:w="408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USO Y COMPATIBILIDAD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Frente (P4-P1, 93.90 m)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Carretera Oasis, a través del área libre del predio matriz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Vía de acceso al predio.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Izquierda (P1-P2, 74.55 m)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Hogar de Refugio Temporal (CUI 2675514)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Servicio de protección del Estado; uso compatible.</w:t>
            </w:r>
          </w:p>
        </w:tc>
      </w:tr>
      <w:tr>
        <w:tc>
          <w:tcPr>
            <w:tcW w:type="dxa" w:w="204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Derecha (P3-P4, 74.55 m)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Área remanente del predio matriz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Predio del Gobierno Regional destinado a servicios de protección.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Fondo (P2-P3, 93.90 m)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Área remanente del predio matriz y, a continuación, propiedad de terceros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Sin uso incompatible.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Dentro del radio de 100 m del terreno se identifican tres usos: comercio vecinal, vivienda taller y el Hogar de Refugio Temporal. El terreno forma parte de un conjunto de servicios de protección del Estado (CAR Varones, Hogar de Refugio Temporal y CAR Mujeres), usos de la misma naturaleza y compatibles entre sí.</w:t>
      </w:r>
    </w:p>
    <w:p>
      <w:pPr>
        <w:pStyle w:val="Heading1"/>
      </w:pPr>
      <w:r>
        <w:t>2.  MARCO NORMATIVO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 ubicación del CAR Varones se verifica con las normas asignadas al proyecto: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Normas que rigen la ubicación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896"/>
      </w:tblGrid>
      <w:tr>
        <w:trPr>
          <w:tblHeader w:val="true"/>
        </w:trPr>
        <w:tc>
          <w:tcPr>
            <w:tcW w:type="dxa" w:w="317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NORMA</w:t>
            </w:r>
          </w:p>
        </w:tc>
        <w:tc>
          <w:tcPr>
            <w:tcW w:type="dxa" w:w="589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DISPOSICIÓN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Decreto Legislativo N.° 1297 y su Reglamento (D.S. N.° 001-2018-MIMP)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Protección de niñas, niños y adolescentes sin cuidados parentales o en riesgo de perderlos; el acogimiento residencial se brinda en Centros de Acogida Residencial acreditados y supervisados por el MIMP.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Criterios Generales para el Diseño Arquitectónico de Centros de Acogida Residencial Básicos, de Urgencia y Especializados para niños y adolescentes (MIMP)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Referencia del diseño arquitectónico del CAR citada en la memoria descriptiva de arquitectura.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RNE, Norma A.090 Servicios Comunales, art. 3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edificaciones de servicios comunales se ubicarán en los lugares señalados en los Planes de Desarrollo Urbano, o en zonas compatibles con la zonificación vigente.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RNE, Norma A.090, art. 4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proyectos que supongan una concentración de público de más de 500 personas deberán contar con un estudio de impacto vial.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RNE, Norma A.040 Educación (R.M. N.° 068-2020-VIVIENDA), art. 7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a) ubicación conforme a los instrumentos de acondicionamiento territorial y desarrollo urbano; b) ubicación evitando las incompatibilidades de uso establecidas en la normativa vigente; c) vías de acceso que prevean el ingreso de vehículos de emergencia; d) soluciones alternativas donde no existan servicios públicos.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N.° 068-2025-MINEDU, Norma Técnica "Criterios Generales de Diseño para Infraestructura Educativa"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de incompatibilidades de uso del terreno, que reúne los dispositivos legales sectoriales y sus distancias; se adopta como lista de verificación.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N.° 208-2019-MINEDU, art. 8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a) se recomiendan terrenos rectangulares o similares; b) los terrenos con pendiente pueden resolverse con plataformas o terrazas; c) la selección del terreno toma en cuenta las condiciones de la N.T. Criterios Generales.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cuadro de incompatibilidades de la R.V.M. N.° 068-2025-MINEDU reúne los dispositivos legales sectoriales que restringen la ubicación de los locales con permanencia de niñas, niños y adolescentes; la Norma A.040 (art. 7 b) y la R.V.M. N.° 208-2019 (art. 8 c) remiten a él. Se aplica al CAR Varones y se complementa con las condiciones de ubicación del RNE.</w:t>
      </w:r>
    </w:p>
    <w:p>
      <w:pPr>
        <w:pStyle w:val="Heading1"/>
      </w:pPr>
      <w:r>
        <w:t>3.  METODOLOGÍA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Incompatibilidades por cercanía (Cuadro N.° 1): se define el área de influencia como la franja medida desde el lindero con la distancia que fija cada dispositivo legal: 50 m (estaciones de servicio), 100 m (establecimientos de salud, GLP, bebidas alcohólicas y plantas de combustibles), 150 m (velatorios y cementerios) y 200 m (ductos de hidrocarburos). Para las que no tienen distancia fija se verifica que la restricción no alcance al terreno.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Condiciones de ubicación (Cuadro N.° 2): se verifica cada condición del RNE y de la R.V.M. N.° 208-2019 con los datos del terreno y del programa arquitectónico.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Se reconoce el entorno del terreno y se revisa la cartografía y las imágenes satelitales de la zona.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Cada punto se califica como CUMPLE cuando la actividad o restricción no existe dentro del área de influencia, o cuando el terreno y el proyecto satisfacen la condición.</w:t>
      </w:r>
    </w:p>
    <w:p>
      <w:pPr>
        <w:sectPr>
          <w:headerReference w:type="default" r:id="rId11"/>
          <w:footerReference w:type="default" r:id="rId12"/>
          <w:pgSz w:w="11906" w:h="16838"/>
          <w:pgMar w:top="1417" w:right="1134" w:bottom="1134" w:left="1701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t>4.  INCOMPATIBILIDADES DE UBICACIÓN POR CERCANÍA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Cuadro N.° 1: incompatibilidades de uso del terreno por cercanía - CAR Varones (según la R.V.M. N.° 068-2025-MINEDU)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835"/>
        <w:gridCol w:w="4309"/>
        <w:gridCol w:w="1701"/>
        <w:gridCol w:w="4252"/>
        <w:gridCol w:w="963"/>
      </w:tblGrid>
      <w:tr>
        <w:trPr>
          <w:tblHeader w:val="true"/>
          <w:cantSplit/>
        </w:trPr>
        <w:tc>
          <w:tcPr>
            <w:tcW w:type="dxa" w:w="5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283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INCOMPATIBILIDAD POR CERCANÍA</w:t>
            </w:r>
          </w:p>
        </w:tc>
        <w:tc>
          <w:tcPr>
            <w:tcW w:type="dxa" w:w="430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DISPOSITIVO LEGAL</w:t>
            </w:r>
          </w:p>
        </w:tc>
        <w:tc>
          <w:tcPr>
            <w:tcW w:type="dxa" w:w="170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DISTANCIA O CRITERIO</w:t>
            </w:r>
          </w:p>
        </w:tc>
        <w:tc>
          <w:tcPr>
            <w:tcW w:type="dxa" w:w="425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CONDICIÓN DEL TERRENO</w:t>
            </w:r>
          </w:p>
        </w:tc>
        <w:tc>
          <w:tcPr>
            <w:tcW w:type="dxa" w:w="96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Velatorios y cementerios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003-94-SA, Reglamento de la Ley de Cementerios y Servicios Funerarios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150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velatorios ni cementerios a menos de 150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Establecimientos de salud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045-2015/MINSA, NTS N.° 113-MINSA/DGIEM-V.01 "Infraestructura y equipamiento de los establecimientos de salud del Primer Nivel de Atención", y R.M. N.° 862-2015/MINSA, NTS N.° 119-MINSA/DGIEM-V.01 "Infraestructura y equipamiento de los establecimientos de salud del Tercer Nivel de Atención"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establecimiento de salud de la localidad se encuentra a más de 100 m del predio y forma parte de los servicios de apoyo cercanos que requiere el CAR.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envasadoras de gas licuado de petróleo (GLP)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027-94-EM, Reglamento de Seguridad para Instalaciones y Transporte de Gas Licuado de Petróleo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envasadoras de GLP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Estaciones de servicio, puestos de venta de combustibles (grifos), gasocentros y establecimientos de venta al público de GNV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054-93-EM (modificado por el D.S. N.° 037-2007-EM), Reglamento de Seguridad para Establecimientos de Venta al Público de Combustibles Derivados de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50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estaciones de servicio, grifos ni gasocentros a menos de 50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Locales de comercialización y consumo de bebidas alcohólicas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28681, Ley que regula la comercialización, consumo y publicidad de bebidas alcohólicas, y su Reglamento (D.S. N.° 012-2009-SA)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locales de venta y consumo de bebidas alcohólicas a menos de 100 m del predio, lo que favorece la tranquilidad y la seguridad de los niños y adolescentes residentes.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de abastecimiento de combustibles líquidos y otros productos derivados de los hidrocarburos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045-2001-EM, Reglamento para la Comercialización de Combustibles Líquidos y otros Productos Derivados de los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de abastecimiento de combustibles ni de derivados de hidrocarburos.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Fajas marginales de las fuentes de agua, naturales o artificiales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001-2010-AG, Reglamento de la Ley N.° 29338, Ley de Recursos Hídricos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marginal de cada fuente de agua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fuentes de agua naturales ni artificiales colindantes; el predio no ocupa fajas marginales.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Sistema de transporte de hidrocarburos por ductos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081-2007-EM (modificado por el D.S. N.° 007-2012-EM), Reglamento de Transporte de Hidrocarburos por Ductos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200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 sistema de transporte de hidrocarburos por ductos.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Pozos para la exploración y explotación de hidrocarburos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032-2004-EM, Reglamento de las Actividades de Exploración y Explotación de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Área de las instalaciones de exploración y explotación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actividades de exploración ni de explotación de hidrocarburos.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Aeródromos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050-2001-MTC, Reglamento de la Ley de Aeronáutica Civil,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Superficies limitadoras de obstáculos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aeropuerto de Tarapoto está a unos 3.5 km, al costado del eje de la pista 17/35 (unos 2.4 km al oeste), fuera de las superficies de aproximación y despegue; las edificaciones del CAR son de baja altura.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de líneas aéreas de instalaciones eléctricas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214-2011-MEM/DM, Código Nacional de Electricidad (Suministro 2011)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de servidumbre según la tensión de la línea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líneas aéreas cuya faja de servidumbre ocupe 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de electroductos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Decreto Ley N.° 25844, Ley de Concesiones Eléctricas,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impuesta sobre el predio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electroductos ni servidumbres eléctricas impuestas sobre 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Restricciones radioeléctricas en áreas de uso público próximas a una estación radioeléctrica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120-2005-MTC/03, Norma Técnica sobre Restricciones Radioeléctricas en Áreas de Uso Público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Límites de exposición de la norma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estaciones radioeléctricas que afecten el predio; se cumple la R.M. N.° 120-2005-MTC/03.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de tratamiento de aguas residuales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011-2006-VIVIENDA, Norma OS.090 "Plantas de tratamiento de aguas residuales" del RNE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Distancia de la planta a la zona habitada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de tratamiento de aguas residuales de terceros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de terreno lateral y colindante al derecho de vía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034-2008-MTC, Reglamento Nacional de Gestión de Infraestructura Vial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Derecho de vía y faja de propiedad restringida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CAR no está en área restringida: su frente da a la carretera Oasis a través del área libre del predio matriz, y el cerco y las obras, incluido el colector pluvial frontal, quedan dentro del lindero.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Zonas restringidas colindantes a las vías ferroviarias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032-2005-MTC, Reglamento Nacional de Ferrocarriles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restringida de la vía férrea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 vía ferroviaria en la zona.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Casinos y máquinas tragamonedas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27153, Ley que regula la explotación de los juegos de casino y máquinas tragamonedas,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Distancia de la ley y de la ordenanza municipal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casinos ni salas de máquinas tragamonedas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Hostales, peñas, discotecas, video-pubs, bingos y salas de billar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27972, Ley Orgánica de Municipalidades, art. 79 (organización del espacio físico y uso del suelo)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Zonificación y licencias municipales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hostales, peñas, discotecas, video-pubs, bingos ni salas de billar en el entorno del predio; el entorno es tranquilo, como lo requiere un centro de acogida residencial.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pStyle w:val="Heading1"/>
      </w:pPr>
      <w:r>
        <w:t>5.  CONDICIONES DE UBICACIÓN DEL CAR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04: Cuadro N.° 2: condiciones de ubicación del CAR Varones (RNE y R.V.M. N.° 208-2019-MINEDU)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3061"/>
        <w:gridCol w:w="2608"/>
        <w:gridCol w:w="7427"/>
        <w:gridCol w:w="963"/>
      </w:tblGrid>
      <w:tr>
        <w:trPr>
          <w:tblHeader w:val="true"/>
          <w:cantSplit/>
        </w:trPr>
        <w:tc>
          <w:tcPr>
            <w:tcW w:type="dxa" w:w="510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306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CONDICIÓN DE UBICACIÓN</w:t>
            </w:r>
          </w:p>
        </w:tc>
        <w:tc>
          <w:tcPr>
            <w:tcW w:type="dxa" w:w="2608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FUENTE</w:t>
            </w:r>
          </w:p>
        </w:tc>
        <w:tc>
          <w:tcPr>
            <w:tcW w:type="dxa" w:w="742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CÓMO LA CUMPLE EL TERRENO O EL PROYECTO</w:t>
            </w:r>
          </w:p>
        </w:tc>
        <w:tc>
          <w:tcPr>
            <w:tcW w:type="dxa" w:w="96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Ubicación en zona compatible con la zonificación y los instrumentos de desarrollo urbano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A.090, art. 3; A.040, art. 7 a)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Predio rural Los Mangos (partida registral N.° 05003469), de propiedad del Gobierno Regional de San Martín, destinado a la sede del CAR Varones, el CAR Mujeres y el Hogar de Refugio Temporal.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Ubicación sin incompatibilidades de uso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A.040, art. 7 b)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Cumple las 18 condiciones del Cuadro N.° 1.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Vías de acceso con ingreso de vehículos de emergencia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A.040, art. 7 c)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Acceso por la carretera Oasis, interconectada con la Av. Evitamiento y la carretera Polvorico, con portada de ingreso principal e ingreso vehicular al predio.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Servicios básicos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A.040, art. 7 d)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proyecto contempla cisterna y tanque elevado, pozo séptico, subestación eléctrica, grupo electrógeno y drenaje pluvial.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Sin estudio de impacto vial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A.090, art. 4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población del CAR (niños y adolescentes residentes y personal) es menor de 500 personas, por lo que no se exige estudio de impacto vial.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Forma y pendiente del terreno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N.° 208-2019, art. 8 a) y b)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Terreno rectangular de 93.90 x 74.55 m (6,999.98 m²), de relieve relativamente plano (pendiente longitudinal del orden de 1 %).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Programa completo dentro de los linderos y zona de seguridad interna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N.° 208-2019, art. 8.1.1 y cuadro 2 (terreno tipo II)</w:t>
            </w:r>
          </w:p>
        </w:tc>
        <w:tc>
          <w:tcPr>
            <w:tcW w:type="dxa" w:w="7427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terreno alberga dentro de sus linderos todo el programa arquitectónico del CAR, con la zona de seguridad dentro del lindero.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Protección frente a lluvias intensas</w:t>
            </w:r>
          </w:p>
        </w:tc>
        <w:tc>
          <w:tcPr>
            <w:tcW w:type="dxa" w:w="260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RNE OS.060 (drenaje pluvial urbano)</w:t>
            </w:r>
          </w:p>
        </w:tc>
        <w:tc>
          <w:tcPr>
            <w:tcW w:type="dxa" w:w="742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Drenaje pluvial con canaletas, montantes, cunetas y colector frontal (láminas DPLV), dimensionado con la hidrología del expediente.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ectPr>
          <w:pgSz w:w="16838" w:h="11906" w:orient="landscape"/>
          <w:pgMar w:top="141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6.  CONCLUSIONES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El terreno cumple las 18 condiciones del Cuadro N.° 1: no existen dentro de su área de influencia las actividades, instalaciones ni servidumbres que la normativa sectorial considera incompatibles con la permanencia de niños y adolescentes.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El terreno y el proyecto cumplen las 8 condiciones de ubicación del Cuadro N.° 2: zona compatible, sin incompatibilidades de uso, accesos para vehículos de emergencia, servicios básicos, terreno rectangular y plano con el programa completo dentro de sus linderos, y drenaje pluvial.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La ubicación cumple la Norma A.090 (arts. 3 y 4), la Norma A.040 (art. 7) y la R.V.M. N.° 208-2019 (art. 8), sin necesidad de estudio de impacto vial.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Los colindantes son el Hogar de Refugio Temporal y el área remanente del predio matriz, de la misma naturaleza de servicio de protección, y la carretera Oasis da acceso al predio sin que las obras ocupen su faja.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Por lo expuesto, el terreno es apto para el Centro de Acogida Residencial - Varones.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95959"/>
        <w:sz w:val="17"/>
      </w:rPr>
      <w:t xml:space="preserve">Página </w:t>
    </w:r>
    <w:r>
      <w:rPr>
        <w:b w:val="0"/>
        <w:i w:val="0"/>
        <w:color w:val="595959"/>
        <w:sz w:val="17"/>
      </w:rPr>
      <w:fldChar w:fldCharType="begin"/>
    </w:r>
    <w:r>
      <w:rPr>
        <w:b w:val="0"/>
        <w:i w:val="0"/>
        <w:color w:val="595959"/>
        <w:sz w:val="17"/>
      </w:rPr>
      <w:instrText xml:space="preserve">PAGE</w:instrText>
    </w:r>
    <w:r>
      <w:rPr>
        <w:b w:val="0"/>
        <w:i w:val="0"/>
        <w:color w:val="595959"/>
        <w:sz w:val="17"/>
      </w:rPr>
      <w:fldChar w:fldCharType="separate"/>
    </w:r>
    <w:r>
      <w:rPr>
        <w:b w:val="0"/>
        <w:i w:val="0"/>
        <w:color w:val="595959"/>
        <w:sz w:val="17"/>
      </w:rPr>
      <w:t>1</w:t>
    </w:r>
    <w:r>
      <w:rPr>
        <w:b w:val="0"/>
        <w:i w:val="0"/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b/>
        <w:i w:val="0"/>
        <w:color w:val="7B1E2B"/>
        <w:sz w:val="16"/>
      </w:rPr>
      <w:t>INCOMPATIBILIDADES DE UBICACIÓN - ARQUITECTURA</w:t>
    </w:r>
    <w:r>
      <w:rPr>
        <w:b w:val="0"/>
        <w:i w:val="0"/>
        <w:color w:val="7B1E2B"/>
        <w:sz w:val="16"/>
      </w:rPr>
      <w:t xml:space="preserve">   |   CAR VARONES - CUI N.° 2705619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incompatibilidades de ubicación -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