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5"/>
        </w:rPr>
        <w:t>REVISIÓN DEL ANÁLISIS DE INCOMPATIBILIDADES DE UBICACIÓN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CAR Varones - CUI N.° 2705619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Se revisó el cuadro de incompatibilidades de la memoria descriptiva de arquitectura (18 dispositivos, todos CUMPLE). El cuadro está completo y cita la versión vigente de la norma; los resultados se conservan. Abajo, lo que se corrigió en el análisis y lo que conviene confirmar.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LO QUE ESTÁ BIEN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Norma: </w:t>
      </w:r>
      <w:r>
        <w:rPr>
          <w:b w:val="0"/>
          <w:i w:val="0"/>
        </w:rPr>
        <w:t>cita la R.V.M. N.° 068-2025-MINEDU, la versión vigente de la N.T. Criterios Generales.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Lista: </w:t>
      </w:r>
      <w:r>
        <w:rPr>
          <w:b w:val="0"/>
          <w:i w:val="0"/>
        </w:rPr>
        <w:t>los 18 dispositivos legales sectoriales con sus distancias mínimas; todos en CUMPLE.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Entorno: </w:t>
      </w:r>
      <w:r>
        <w:rPr>
          <w:b w:val="0"/>
          <w:i w:val="0"/>
        </w:rPr>
        <w:t>describe los colindantes del terreno y los usos dentro de 100 m (comercio vecinal, vivienda taller y Hogar de Refugio Temporal).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CORREGIDO EN EL ANÁLISIS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Correcciones de redacción y citas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515"/>
        <w:gridCol w:w="4649"/>
      </w:tblGrid>
      <w:tr>
        <w:trPr>
          <w:tblHeader w:val="true"/>
        </w:trPr>
        <w:tc>
          <w:tcPr>
            <w:tcW w:type="dxa" w:w="147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FILA</w:t>
            </w:r>
          </w:p>
        </w:tc>
        <w:tc>
          <w:tcPr>
            <w:tcW w:type="dxa" w:w="351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EN LA MEMORIA</w:t>
            </w:r>
          </w:p>
        </w:tc>
        <w:tc>
          <w:tcPr>
            <w:tcW w:type="dxa" w:w="464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EN EL ANÁLISIS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Decreto Ley N.° 25884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Decreto Ley N.° 25844, Ley de Concesiones Eléctricas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18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Ley Orgánica de Municipales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Ley N.° 27972, Ley Orgánica de Municipalidades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"cuando una Institución Educativa se encuentre próximo" (texto de un colegio)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restricciones en áreas de uso público próximas a una estación radioeléctrica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4, 5, 10, 14, 17, 18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"no se encontró dentro del área definida para la UP"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condición concreta del terreno del CAR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Aeródromos: "no se encontró dentro del área definida"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Aeropuerto de Tarapoto a unos 3.5 km, al costado de la pista 17/35; edificaciones de baja altura (sigue CUMPLE)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área del CAR no está en área restringida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agrega que el frente da a la carretera Oasis por el área libre del predio matriz y que las obras quedan dentro del lindero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Todos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Distancia dentro del texto del dispositivo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Columna aparte "DISTANCIA O CRITERIO"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Se añadieron: el servicio del CAR y sus exigencias de ubicación (D.Leg. N.° 1297), el marco normativo (A.090 arts. 3 y 4, A.040 art. 7, R.V.M. N.° 208-2019 art. 8), la metodología, el Cuadro N.° 2 con 8 condiciones de ubicación del CAR y las conclusiones.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3. PARA CONFIRMAR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Puntos para confirmar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309"/>
        <w:gridCol w:w="3402"/>
      </w:tblGrid>
      <w:tr>
        <w:trPr>
          <w:tblHeader w:val="true"/>
        </w:trPr>
        <w:tc>
          <w:tcPr>
            <w:tcW w:type="dxa" w:w="1928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430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QUÉ CONFIRMAR</w:t>
            </w:r>
          </w:p>
        </w:tc>
        <w:tc>
          <w:tcPr>
            <w:tcW w:type="dxa" w:w="340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POR QUÉ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Fajas marginales (fila 7)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memoria dice que "por la margen derecha discurren aguas de drenaje pluvial". Precisar si es una cuneta o dren de la vía (sin faja marginal) o un cauce.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cuadro dice que no hay fuentes de agua; ambos textos deben decir lo mismo.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Bebidas alcohólicas (fila 5)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Que el comercio vecinal dentro de 100 m no venda bebidas alcohólicas.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memoria reconoce comercio vecinal dentro de 100 m.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Accesos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memoria indica el ingreso por la carretera Fernando Belaunde Terry (sector El Tumi) y una trocha de unos 340 m, y el saneamiento, el acceso directo por la carretera Oasis.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Unificar la descripción del acceso.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Norma del MIMP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Que los "Criterios Generales para el Diseño Arquitectónico de CAR ..." sean la R.M. N.° 377-2024-MIMP que cita la programación, y pasar su PDF.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trae condiciones de ubicación propias del CAR, se agregan al Cuadro N.° 2.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Zonificación (Cuadro 2, fila 1)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Certificado de zonificación y vías o de parámetros urbanísticos de la Municipalidad de Morales.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Es el documento que acredita la A.090 art. 3.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Pozo séptico (fila 14)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pozo séptico del programa (265.40 m²) es del propio CAR; confirmar su distancia a dormitorios según la especialidad sanitaria.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cuadro trata de plantas de terceros; un evaluador puede preguntar por el propio.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Aeródromo y líneas eléctricas (filas 10 a 12)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Distancia al aeropuerto con la ubicación real y si hay red de media tensión en la carretera Oasis.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Respaldo del CUMPLE.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del análisis de incompatibilidades de ubicación -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