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CAR Varones, que sirve de vereda peatonal, a nivel del terreno terminado del frente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 la losa ±0.005 m respecto a la cota de proyecto (+261.15).</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CAR Varones: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 todo el contacto del colector pluvial frontal del CAR Varones con el muro este de la caja de llegada CL (sección completa del colector menos su hueco interior), de modo que ambas estructuras trabajen en forma independiente, y el sellador asfáltico de 1" x 2" (asfalto líquido RC-250 + arena gruesa) en las caras interiores y en la cara superior, según la lámina DD-03 (vista C). A ambos lados del colector hay terreno natural, por lo que no lleva junta longitudinal; la losa superior del colector sirve de vereda.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del colector;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la caja CL y su ventana antes de vaciar el último tramo del colector.</w:t>
      </w:r>
    </w:p>
    <w:p>
      <w:pPr>
        <w:pStyle w:val="ListParagraph"/>
        <w:numPr>
          <w:ilvl w:val="0"/>
          <w:numId w:val="2"/>
        </w:numPr>
        <w:spacing w:after="60" w:line="264"/>
        <w:jc w:val="both"/>
      </w:pPr>
      <w:r>
        <w:rPr>
          <w:rFonts w:ascii="Arial" w:cs="Arial" w:eastAsia="Arial" w:hAnsi="Arial"/>
          <w:sz w:val="20"/>
          <w:szCs w:val="20"/>
        </w:rPr>
        <w:t xml:space="preserve">Fijar la plancha de tecnopor contra el muro este de la caja CL, alrededor de la ventana, y vaciar el colector contra ella.</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contacto directo entre el concreto del colector y el de la caja CL; sello compacto, adherido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y sellada en el contacto con la caja CL (perímetro de la sección),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2026-10-15T02:55:38.816Z</dcterms:created>
  <dcterms:modified xsi:type="dcterms:W3CDTF">2026-10-15T02:55:38.816Z</dcterms:modified>
</cp:coreProperties>
</file>

<file path=docProps/custom.xml><?xml version="1.0" encoding="utf-8"?>
<Properties xmlns="http://schemas.openxmlformats.org/officeDocument/2006/custom-properties" xmlns:vt="http://schemas.openxmlformats.org/officeDocument/2006/docPropsVTypes"/>
</file>