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a lo largo del frente, que en el CAR Varones no tiene cerco perimetral, con su eje a 0.475 m de la línea de referencia del frente (límite de las áreas exteriores del plano de arquitectura). La losa superior queda a +261.15 msnm en toda su longitud y sirve de vereda; a ambos lados del colector hay terreno natural, por lo que no lleva junta longitudinal (su única junta con otra estructura es la de la caja CL).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en el resto del colector la losa superior sirve de vereda,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0+007.01</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0+013.52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39480"/>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13.34</w:t>
            </w:r>
          </w:p>
        </w:tc>
        <w:tc>
          <w:tcPr>
            <w:tcW w:type="dxa" w:w="1134"/>
          </w:tcPr>
          <w:p>
            <w:pPr>
              <w:jc w:val="center"/>
            </w:pPr>
            <w:r/>
            <w:r>
              <w:rPr>
                <w:rFonts w:ascii="Arial Narrow" w:hAnsi="Arial Narrow" w:cs="Arial Narrow"/>
                <w:b w:val="0"/>
                <w:i w:val="0"/>
                <w:sz w:val="18"/>
              </w:rPr>
              <w:t>0.133</w:t>
            </w:r>
          </w:p>
        </w:tc>
        <w:tc>
          <w:tcPr>
            <w:tcW w:type="dxa" w:w="1020"/>
          </w:tcPr>
          <w:p>
            <w:pPr>
              <w:jc w:val="center"/>
            </w:pPr>
            <w:r/>
            <w:r>
              <w:rPr>
                <w:rFonts w:ascii="Arial Narrow" w:hAnsi="Arial Narrow" w:cs="Arial Narrow"/>
                <w:b w:val="0"/>
                <w:i w:val="0"/>
                <w:sz w:val="18"/>
              </w:rPr>
              <w:t>34.5</w:t>
            </w:r>
          </w:p>
        </w:tc>
        <w:tc>
          <w:tcPr>
            <w:tcW w:type="dxa" w:w="1361"/>
          </w:tcPr>
          <w:p>
            <w:pPr>
              <w:jc w:val="center"/>
            </w:pPr>
            <w:r/>
            <w:r>
              <w:rPr>
                <w:rFonts w:ascii="Arial Narrow" w:hAnsi="Arial Narrow" w:cs="Arial Narrow"/>
                <w:b w:val="0"/>
                <w:i w:val="0"/>
                <w:sz w:val="18"/>
              </w:rPr>
              <w:t>0+007.01</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18.06</w:t>
            </w:r>
          </w:p>
        </w:tc>
        <w:tc>
          <w:tcPr>
            <w:tcW w:type="dxa" w:w="1134"/>
          </w:tcPr>
          <w:p>
            <w:pPr>
              <w:jc w:val="center"/>
            </w:pPr>
            <w:r/>
            <w:r>
              <w:rPr>
                <w:rFonts w:ascii="Arial Narrow" w:hAnsi="Arial Narrow" w:cs="Arial Narrow"/>
                <w:b w:val="0"/>
                <w:i w:val="0"/>
                <w:sz w:val="18"/>
              </w:rPr>
              <w:t>0.181</w:t>
            </w:r>
          </w:p>
        </w:tc>
        <w:tc>
          <w:tcPr>
            <w:tcW w:type="dxa" w:w="1020"/>
          </w:tcPr>
          <w:p>
            <w:pPr>
              <w:jc w:val="center"/>
            </w:pPr>
            <w:r/>
            <w:r>
              <w:rPr>
                <w:rFonts w:ascii="Arial Narrow" w:hAnsi="Arial Narrow" w:cs="Arial Narrow"/>
                <w:b w:val="0"/>
                <w:i w:val="0"/>
                <w:sz w:val="18"/>
              </w:rPr>
              <w:t>46.8</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0+007.01</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260.179</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0.16</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0.21</w:t>
            </w:r>
          </w:p>
        </w:tc>
        <w:tc>
          <w:tcPr>
            <w:tcW w:type="dxa" w:w="794"/>
          </w:tcPr>
          <w:p>
            <w:pPr>
              <w:jc w:val="center"/>
            </w:pPr>
            <w:r/>
            <w:r>
              <w:rPr>
                <w:rFonts w:ascii="Arial Narrow" w:hAnsi="Arial Narrow" w:cs="Arial Narrow"/>
                <w:b w:val="0"/>
                <w:i w:val="0"/>
                <w:sz w:val="16"/>
              </w:rPr>
              <w:t>0.13</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34.50 m/s. Como el caudal crece a lo largo del tramo, cada tramo entre empalmes se verifica con su propio caudal: en los tramos de cabecera (81.3 y 1.5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(34.5 L/s)</w:t>
            </w:r>
          </w:p>
        </w:tc>
        <w:tc>
          <w:tcPr>
            <w:tcW w:type="dxa" w:w="907"/>
          </w:tcPr>
          <w:p>
            <w:pPr>
              <w:jc w:val="center"/>
            </w:pPr>
            <w:r/>
            <w:r>
              <w:rPr>
                <w:rFonts w:ascii="Arial Narrow" w:hAnsi="Arial Narrow" w:cs="Arial Narrow"/>
                <w:b w:val="0"/>
                <w:i w:val="0"/>
                <w:sz w:val="18"/>
              </w:rPr>
              <w:t>34.5</w:t>
            </w:r>
          </w:p>
        </w:tc>
        <w:tc>
          <w:tcPr>
            <w:tcW w:type="dxa" w:w="907"/>
          </w:tcPr>
          <w:p>
            <w:pPr>
              <w:jc w:val="center"/>
            </w:pPr>
            <w:r/>
            <w:r>
              <w:rPr>
                <w:rFonts w:ascii="Arial Narrow" w:hAnsi="Arial Narrow" w:cs="Arial Narrow"/>
                <w:b w:val="0"/>
                <w:i w:val="0"/>
                <w:sz w:val="18"/>
              </w:rPr>
              <w:t>0.092</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39480"/>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(0.04,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0+007.01</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34.5</w:t>
            </w:r>
          </w:p>
        </w:tc>
        <w:tc>
          <w:tcPr>
            <w:tcW w:type="dxa" w:w="1247"/>
          </w:tcPr>
          <w:p>
            <w:pPr>
              <w:jc w:val="center"/>
            </w:pPr>
            <w:r/>
            <w:r>
              <w:rPr>
                <w:rFonts w:ascii="Arial Narrow" w:hAnsi="Arial Narrow" w:cs="Arial Narrow"/>
                <w:b w:val="0"/>
                <w:i w:val="0"/>
                <w:sz w:val="18"/>
              </w:rPr>
              <w:t>0.04</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46.8</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39480"/>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39480"/>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 +261.15 msnm que sirve de vereda, sin lloraderos; registros de limpieza (RV-01 a RV-11) a no más de 12 m, en cada llegada de cuneta y en el quiebre, fuera del cruce de camiones, con tapa de concreto armado de 0.68 × 0.68 × 0.08 m, contramarco de ángulo de 1 ½" × 1 ½" × 1/8"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en toda la sección, con tecnopor de 1" y sellador asfáltico de 1" × 2" (asfalto líquido RC-250 + arena gruesa; EG-2013 MTC, Sección 510); junta de tecnopor de 1" y sellador asfáltico en el contacto con la caja CL. A ambos lados del colector hay terreno natural: no lleva junta longitudinal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y juntas,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t>Excavación manual de zanjas p/colector (ancho 1.40 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130.62</w:t>
            </w:r>
            <w:r>
              <w:rPr>
                <w:rFonts w:ascii="Arial Narrow" w:hAnsi="Arial Narrow" w:cs="Arial Narrow"/>
                <w:b w:val="0"/>
                <w:i w:val="0"/>
                <w:sz w:val="20"/>
              </w:rPr>
            </w:r>
          </w:p>
        </w:tc>
      </w:tr>
      <w:tr>
        <w:tc>
          <w:tcPr>
            <w:tcW w:type="dxa" w:w="5669"/>
          </w:tcPr>
          <w:p>
            <w:pPr>
              <w:jc w:val="left"/>
            </w:pPr>
            <w:r>
              <w:t>Relleno compactado c/material propio seleccionado</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91.51</w:t>
            </w:r>
            <w:r>
              <w:rPr>
                <w:rFonts w:ascii="Arial Narrow" w:hAnsi="Arial Narrow" w:cs="Arial Narrow"/>
                <w:b w:val="0"/>
                <w:i w:val="0"/>
                <w:sz w:val="20"/>
              </w:rPr>
            </w:r>
          </w:p>
        </w:tc>
      </w:tr>
      <w:tr>
        <w:tc>
          <w:tcPr>
            <w:tcW w:type="dxa" w:w="5669"/>
          </w:tcPr>
          <w:p>
            <w:pPr>
              <w:jc w:val="left"/>
            </w:pPr>
            <w:r>
              <w:t>Eliminación de material excedente D&lt;1 km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46.93</w:t>
            </w:r>
            <w:r>
              <w:rPr>
                <w:rFonts w:ascii="Arial Narrow" w:hAnsi="Arial Narrow" w:cs="Arial Narrow"/>
                <w:b w:val="0"/>
                <w:i w:val="0"/>
                <w:sz w:val="20"/>
              </w:rPr>
            </w:r>
          </w:p>
        </w:tc>
      </w:tr>
      <w:tr>
        <w:tc>
          <w:tcPr>
            <w:tcW w:type="dxa" w:w="5669"/>
          </w:tcPr>
          <w:p>
            <w:pPr>
              <w:jc w:val="left"/>
            </w:pPr>
            <w:r>
              <w:t>Concreto f'c = 100 kg/cm² para solado e = 2"</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105.29</w:t>
            </w:r>
            <w:r>
              <w:rPr>
                <w:rFonts w:ascii="Arial Narrow" w:hAnsi="Arial Narrow" w:cs="Arial Narrow"/>
                <w:b w:val="0"/>
                <w:i w:val="0"/>
                <w:sz w:val="20"/>
              </w:rPr>
            </w:r>
          </w:p>
        </w:tc>
      </w:tr>
      <w:tr>
        <w:tc>
          <w:tcPr>
            <w:tcW w:type="dxa" w:w="5669"/>
          </w:tcPr>
          <w:p>
            <w:pPr>
              <w:jc w:val="left"/>
            </w:pPr>
            <w:r>
              <w:t>Concreto f'c = 210 kg/cm² para colector</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56.02</w:t>
            </w:r>
            <w:r>
              <w:rPr>
                <w:rFonts w:ascii="Arial Narrow" w:hAnsi="Arial Narrow" w:cs="Arial Narrow"/>
                <w:b w:val="0"/>
                <w:i w:val="0"/>
                <w:sz w:val="20"/>
              </w:rPr>
            </w:r>
          </w:p>
        </w:tc>
      </w:tr>
      <w:tr>
        <w:tc>
          <w:tcPr>
            <w:tcW w:type="dxa" w:w="5669"/>
          </w:tcPr>
          <w:p>
            <w:pPr>
              <w:jc w:val="left"/>
            </w:pPr>
            <w:r>
              <w:t>Encofrado y desencofrado de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538.31</w:t>
            </w:r>
            <w:r>
              <w:rPr>
                <w:rFonts w:ascii="Arial Narrow" w:hAnsi="Arial Narrow" w:cs="Arial Narrow"/>
                <w:b w:val="0"/>
                <w:i w:val="0"/>
                <w:sz w:val="20"/>
              </w:rPr>
            </w:r>
          </w:p>
        </w:tc>
      </w:tr>
      <w:tr>
        <w:tc>
          <w:tcPr>
            <w:tcW w:type="dxa" w:w="5669"/>
          </w:tcPr>
          <w:p>
            <w:pPr>
              <w:jc w:val="left"/>
            </w:pPr>
            <w:r>
              <w:t>Acero fy = 4200 kg/cm² para colector</w:t>
            </w:r>
            <w:r>
              <w:rPr>
                <w:rFonts w:ascii="Arial Narrow" w:hAnsi="Arial Narrow" w:cs="Arial Narrow"/>
                <w:b w:val="0"/>
                <w:i w:val="0"/>
                <w:sz w:val="20"/>
              </w:rPr>
            </w:r>
          </w:p>
        </w:tc>
        <w:tc>
          <w:tcPr>
            <w:tcW w:type="dxa" w:w="1134"/>
          </w:tcPr>
          <w:p>
            <w:pPr>
              <w:jc w:val="center"/>
            </w:pPr>
            <w:r>
              <w:t>kg</w:t>
            </w:r>
            <w:r>
              <w:rPr>
                <w:rFonts w:ascii="Arial Narrow" w:hAnsi="Arial Narrow" w:cs="Arial Narrow"/>
                <w:b w:val="0"/>
                <w:i w:val="0"/>
                <w:sz w:val="20"/>
              </w:rPr>
            </w:r>
          </w:p>
        </w:tc>
        <w:tc>
          <w:tcPr>
            <w:tcW w:type="dxa" w:w="1701"/>
          </w:tcPr>
          <w:p>
            <w:pPr>
              <w:jc w:val="center"/>
            </w:pPr>
            <w:r>
              <w:t>2523.84</w:t>
            </w:r>
            <w:r>
              <w:rPr>
                <w:rFonts w:ascii="Arial Narrow" w:hAnsi="Arial Narrow" w:cs="Arial Narrow"/>
                <w:b w:val="0"/>
                <w:i w:val="0"/>
                <w:sz w:val="20"/>
              </w:rPr>
            </w:r>
          </w:p>
        </w:tc>
      </w:tr>
      <w:tr>
        <w:tc>
          <w:tcPr>
            <w:tcW w:type="dxa" w:w="5669"/>
          </w:tcPr>
          <w:p>
            <w:pPr>
              <w:jc w:val="left"/>
            </w:pPr>
            <w:r>
              <w:t>Acabado frotachado de losa superior (vereda)</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94.76</w:t>
            </w:r>
            <w:r>
              <w:rPr>
                <w:rFonts w:ascii="Arial Narrow" w:hAnsi="Arial Narrow" w:cs="Arial Narrow"/>
                <w:b w:val="0"/>
                <w:i w:val="0"/>
                <w:sz w:val="20"/>
              </w:rPr>
            </w:r>
          </w:p>
        </w:tc>
      </w:tr>
      <w:tr>
        <w:tc>
          <w:tcPr>
            <w:tcW w:type="dxa" w:w="5669"/>
          </w:tcPr>
          <w:p>
            <w:pPr>
              <w:jc w:val="left"/>
            </w:pPr>
            <w:r>
              <w:t>Curado de concreto en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368.27</w:t>
            </w:r>
            <w:r>
              <w:rPr>
                <w:rFonts w:ascii="Arial Narrow" w:hAnsi="Arial Narrow" w:cs="Arial Narrow"/>
                <w:b w:val="0"/>
                <w:i w:val="0"/>
                <w:sz w:val="20"/>
              </w:rPr>
            </w:r>
          </w:p>
        </w:tc>
      </w:tr>
      <w:tr>
        <w:tc>
          <w:tcPr>
            <w:tcW w:type="dxa" w:w="5669"/>
          </w:tcPr>
          <w:p>
            <w:pPr>
              <w:jc w:val="left"/>
            </w:pPr>
            <w:r>
              <w:t>Tapa de registro 0.68 × 0.68 c/marco y contramarco</w:t>
            </w:r>
            <w:r>
              <w:rPr>
                <w:rFonts w:ascii="Arial Narrow" w:hAnsi="Arial Narrow" w:cs="Arial Narrow"/>
                <w:b w:val="0"/>
                <w:i w:val="0"/>
                <w:sz w:val="20"/>
              </w:rPr>
            </w:r>
          </w:p>
        </w:tc>
        <w:tc>
          <w:tcPr>
            <w:tcW w:type="dxa" w:w="1134"/>
          </w:tcPr>
          <w:p>
            <w:pPr>
              <w:jc w:val="center"/>
            </w:pPr>
            <w:r>
              <w:t>und</w:t>
            </w:r>
            <w:r>
              <w:rPr>
                <w:rFonts w:ascii="Arial Narrow" w:hAnsi="Arial Narrow" w:cs="Arial Narrow"/>
                <w:b w:val="0"/>
                <w:i w:val="0"/>
                <w:sz w:val="20"/>
              </w:rPr>
            </w:r>
          </w:p>
        </w:tc>
        <w:tc>
          <w:tcPr>
            <w:tcW w:type="dxa" w:w="1701"/>
          </w:tcPr>
          <w:p>
            <w:pPr>
              <w:jc w:val="center"/>
            </w:pPr>
            <w:r>
              <w:t>11</w:t>
            </w:r>
            <w:r>
              <w:rPr>
                <w:rFonts w:ascii="Arial Narrow" w:hAnsi="Arial Narrow" w:cs="Arial Narrow"/>
                <w:b w:val="0"/>
                <w:i w:val="0"/>
                <w:sz w:val="20"/>
              </w:rPr>
            </w:r>
          </w:p>
        </w:tc>
      </w:tr>
      <w:tr>
        <w:tc>
          <w:tcPr>
            <w:tcW w:type="dxa" w:w="5669"/>
          </w:tcPr>
          <w:p>
            <w:pPr>
              <w:jc w:val="left"/>
            </w:pPr>
            <w:r>
              <w:t>Junta de dilatación e = 1" con tecnopor y sellador asfáltico en colector</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120.64</w:t>
            </w:r>
            <w:r>
              <w:rPr>
                <w:rFonts w:ascii="Arial Narrow" w:hAnsi="Arial Narrow" w:cs="Arial Narrow"/>
                <w:b w:val="0"/>
                <w:i w:val="0"/>
                <w:sz w:val="20"/>
              </w:rPr>
            </w:r>
          </w:p>
        </w:tc>
      </w:tr>
      <w:tr>
        <w:tc>
          <w:tcPr>
            <w:tcW w:type="dxa" w:w="5669"/>
          </w:tcPr>
          <w:p>
            <w:pPr>
              <w:jc w:val="left"/>
            </w:pPr>
            <w:r>
              <w:t>Junta e = 1" con tecnopor y sellador asfáltico entre colector y caja CL</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4.64</w:t>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t>EG-2013 MTC, Seccion 510; practica de los colectores vecinos</w:t>
            </w:r>
            <w:r>
              <w:rPr>
                <w:rFonts w:ascii="Arial Narrow" w:hAnsi="Arial Narrow" w:cs="Arial Narrow"/>
                <w:b w:val="0"/>
                <w:i w:val="0"/>
                <w:sz w:val="16"/>
              </w:rPr>
            </w:r>
          </w:p>
        </w:tc>
        <w:tc>
          <w:tcPr>
            <w:tcW w:type="dxa" w:w="2041"/>
          </w:tcPr>
          <w:p>
            <w:pPr>
              <w:jc w:val="center"/>
            </w:pPr>
            <w:r>
              <w:t>Cada 4.00 m con tecnopor 1" y sellador asfaltico 1" x 2"</w:t>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