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1E5E3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1E5E3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1E5E3B"/>
          <w:sz w:val="22"/>
        </w:rPr>
        <w:t>EXPEDIENTE TÉCNICO DEL PROYECTO DE INVERSIÓN: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1E5E3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1E5E3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INCOMPATIBILIDADES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D6EEDD"/>
                <w:spacing w:val="4"/>
              </w:rPr>
              <w:t>DE UBICACIÓN DEL PROYECTO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D6EEDD"/>
                <w:spacing w:val="4"/>
              </w:rPr>
              <w:t>ESPECIALIDAD: ARQUITECTURA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1E5E3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1E5E3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1E5E3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1E5E3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1E5E3B"/>
                <w:spacing w:val="6"/>
              </w:rPr>
              <w:t xml:space="preserve">   OCTUBRE - 2026</w:t>
            </w:r>
          </w:p>
        </w:tc>
      </w:tr>
    </w:tbl>
    <w:p>
      <w:pPr>
        <w:sectPr>
          <w:pgSz w:w="11906" w:h="16838"/>
          <w:pgMar w:top="1417" w:right="1134" w:bottom="1134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t>1.  GENERALIDADES</w:t>
      </w:r>
    </w:p>
    <w:p>
      <w:pPr>
        <w:pStyle w:val="Heading2"/>
      </w:pPr>
      <w:r>
        <w:t>1.1  Objeto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presente análisis verifica que el terreno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2675514, no presenta incompatibilidades de uso por cercanía a actividades, instalaciones o servidumbres reguladas por la normativa vigente, de modo que su ubicación es apta para el Hogar de Refugio Temporal.</w:t>
      </w:r>
    </w:p>
    <w:p>
      <w:pPr>
        <w:pStyle w:val="Heading2"/>
      </w:pPr>
      <w:r>
        <w:t>1.2  Ubicación del predio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Predio rural Los Mangos, distrito de Morales, provincia y departamento de San Martín, con frente a la carretera Oasis y en el entorno urbano de Morales y Tarapoto. Coordenadas UTM referenciales (WGS84, zona 18 Sur): E 345 749, N 9 282 885.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Usos colindantes del predio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4762"/>
      </w:tblGrid>
      <w:tr>
        <w:trPr>
          <w:tblHeader w:val="true"/>
        </w:trPr>
        <w:tc>
          <w:tcPr>
            <w:tcW w:type="dxa" w:w="181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LADO</w:t>
            </w:r>
          </w:p>
        </w:tc>
        <w:tc>
          <w:tcPr>
            <w:tcW w:type="dxa" w:w="249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COLINDANTE</w:t>
            </w:r>
          </w:p>
        </w:tc>
        <w:tc>
          <w:tcPr>
            <w:tcW w:type="dxa" w:w="476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USO Y COMPATIBILIDAD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Frente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Carretera Oasis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Vía de acceso al predio; el cerco y el colector pluvial frontal quedan dentro del lindero.</w:t>
            </w:r>
          </w:p>
        </w:tc>
      </w:tr>
      <w:tr>
        <w:tc>
          <w:tcPr>
            <w:tcW w:type="dxa" w:w="181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Lateral (aguas arriba)</w:t>
            </w:r>
          </w:p>
        </w:tc>
        <w:tc>
          <w:tcPr>
            <w:tcW w:type="dxa" w:w="249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CAR Varones (CUI 2705619)</w:t>
            </w:r>
          </w:p>
        </w:tc>
        <w:tc>
          <w:tcPr>
            <w:tcW w:type="dxa" w:w="47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Servicio de protección a niñas, niños y adolescentes; uso compatible.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Lateral (aguas abajo)</w:t>
            </w:r>
          </w:p>
        </w:tc>
        <w:tc>
          <w:tcPr>
            <w:tcW w:type="dxa" w:w="249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CAR Mujeres (CUI 2717013)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Servicio de protección a niñas, niños y adolescentes; uso compatible.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predio forma parte de un conjunto de servicios de protección del Estado (CAR Varones, Hogar de Refugio Temporal y CAR Mujeres), usos de la misma naturaleza y compatibles entre sí.</w:t>
      </w:r>
    </w:p>
    <w:p>
      <w:pPr>
        <w:pStyle w:val="Heading1"/>
      </w:pPr>
      <w:r>
        <w:t>2.  MARCO NORMATIVO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Hogar de Refugio Temporal es una edificación de protección social (Norma A.090) que incluye ambientes educativos; por ello se verifica su ubicación con las disposiciones siguientes: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Normas que rigen la ubicación del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5896"/>
      </w:tblGrid>
      <w:tr>
        <w:trPr>
          <w:tblHeader w:val="true"/>
        </w:trPr>
        <w:tc>
          <w:tcPr>
            <w:tcW w:type="dxa" w:w="317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NORMA</w:t>
            </w:r>
          </w:p>
        </w:tc>
        <w:tc>
          <w:tcPr>
            <w:tcW w:type="dxa" w:w="589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DISPOSICIÓN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RNE, Norma A.090 Servicios Comunales, art. 3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Las edificaciones de servicios comunales se ubicarán en los lugares señalados en los Planes de Desarrollo Urbano, o en zonas compatibles con la zonificación vigente.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RNE, Norma A.040 Educación (R.M. N.° 068-2020-VIVIENDA), art. 7 b)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Ubicación evitando las incompatibilidades de uso establecidas en la normativa vigente y/o adoptar las alternativas de solución, respecto de su ubicación. Se aplica a los ambientes educativos del hogar (módulo infantil y módulo de enseñanza).</w:t>
            </w:r>
          </w:p>
        </w:tc>
      </w:tr>
      <w:tr>
        <w:tc>
          <w:tcPr>
            <w:tcW w:type="dxa" w:w="3175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R.V.M. N.° 010-2022-MINEDU, Norma Técnica "Criterios Generales de Diseño para Infraestructura Educativa"</w:t>
            </w:r>
          </w:p>
        </w:tc>
        <w:tc>
          <w:tcPr>
            <w:tcW w:type="dxa" w:w="589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Cuadro de incompatibilidades de uso del terreno, que reúne los dispositivos legales sectoriales y sus distancias; se adopta como lista de verificación.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Lineamientos ONU-Habitat / CONAVIM (2016), numeral 2.1</w:t>
            </w:r>
          </w:p>
        </w:tc>
        <w:tc>
          <w:tcPr>
            <w:tcW w:type="dxa" w:w="589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Ubicación en una zona tranquila, no aislada, con servicios e instituciones de apoyo cercanos, alumbrado público, transporte público y accesos alternativos.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cuadro de incompatibilidades de la R.V.M. N.° 010-2022-MINEDU es el instrumento sectorial que reúne, para una edificación con permanencia de niñas y niños, las distancias y restricciones de los dispositivos legales de cada sector (salud, energía y minas, transportes, recursos hídricos y gobiernos locales); por ello se adopta para el Hogar de Refugio Temporal, que alberga a mujeres con sus hijas e hijos.</w:t>
      </w:r>
    </w:p>
    <w:p>
      <w:pPr>
        <w:pStyle w:val="Heading1"/>
      </w:pPr>
      <w:r>
        <w:t>3.  METODOLOGÍA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Se define el área de influencia del predio como la franja medida desde el lindero con la distancia que fija cada dispositivo legal: 50 m (estaciones de servicio), 100 m (establecimientos de salud, GLP, bebidas alcohólicas y plantas de combustibles), 150 m (velatorios y cementerios) y 200 m (ductos de hidrocarburos).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Para las incompatibilidades sin distancia fija (fajas marginales, servidumbres eléctricas, aeródromos, vías, restricciones radioeléctricas y usos regulados por la municipalidad) se verifica que la restricción no alcance al predio.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Se reconoce el entorno del predio y se revisa la cartografía y las imágenes satelitales de la zona.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Cada incompatibilidad se califica como CUMPLE cuando la actividad o restricción no existe dentro del área de influencia.</w:t>
      </w:r>
    </w:p>
    <w:p>
      <w:pPr>
        <w:sectPr>
          <w:headerReference w:type="default" r:id="rId11"/>
          <w:footerReference w:type="default" r:id="rId12"/>
          <w:pgSz w:w="11906" w:h="16838"/>
          <w:pgMar w:top="1417" w:right="1134" w:bottom="1134" w:left="1701" w:header="720" w:footer="720" w:gutter="0"/>
          <w:cols w:space="720"/>
          <w:docGrid w:linePitch="360"/>
          <w:pgNumType w:start="1"/>
        </w:sectPr>
      </w:pPr>
    </w:p>
    <w:p>
      <w:pPr>
        <w:pStyle w:val="Heading1"/>
      </w:pPr>
      <w:r>
        <w:t>4.  CUADRO DE INCOMPATIBILIDADES DE UBICACIÓN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Cuadro N.° 1: incompatibilidades de uso del terreno, según la R.V.M. N.° 010-2022-MINEDU - Hogar de Refugio Temporal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2835"/>
        <w:gridCol w:w="4309"/>
        <w:gridCol w:w="1701"/>
        <w:gridCol w:w="4252"/>
        <w:gridCol w:w="963"/>
      </w:tblGrid>
      <w:tr>
        <w:trPr>
          <w:tblHeader w:val="true"/>
          <w:cantSplit/>
        </w:trPr>
        <w:tc>
          <w:tcPr>
            <w:tcW w:type="dxa" w:w="5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283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INCOMPATIBILIDAD POR CERCANÍA</w:t>
            </w:r>
          </w:p>
        </w:tc>
        <w:tc>
          <w:tcPr>
            <w:tcW w:type="dxa" w:w="430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DISPOSITIVO LEGAL</w:t>
            </w:r>
          </w:p>
        </w:tc>
        <w:tc>
          <w:tcPr>
            <w:tcW w:type="dxa" w:w="170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DISTANCIA O CRITERIO</w:t>
            </w:r>
          </w:p>
        </w:tc>
        <w:tc>
          <w:tcPr>
            <w:tcW w:type="dxa" w:w="425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CONDICIÓN DEL PREDIO</w:t>
            </w:r>
          </w:p>
        </w:tc>
        <w:tc>
          <w:tcPr>
            <w:tcW w:type="dxa" w:w="96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Velatorios y cementerios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003-94-SA, Reglamento de la Ley de Cementerios y Servicios Funerarios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150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velatorios ni cementerios a menos de 150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Establecimientos de salud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045-2015/MINSA, NTS N.° 113-MINSA/DGIEM-V.01 "Infraestructura y equipamiento de los establecimientos de salud del Primer Nivel de Atención", y R.M. N.° 862-2015/MINSA, NTS N.° 119-MINSA/DGIEM-V.01 "Infraestructura y equipamiento de los establecimientos de salud del Tercer Nivel de Atención"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establecimiento de salud de la localidad se encuentra a más de 100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envasadoras de gas licuado de petróleo (GLP)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027-94-EM, Reglamento de Seguridad para Instalaciones y Transporte de Gas Licuado de Petróleo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envasadoras de GLP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Estaciones de servicio, puestos de venta de combustibles (grifos), gasocentros y establecimientos de venta al público de GNV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054-93-EM (modificado por el D.S. N.° 037-2007-EM), Reglamento de Seguridad para Establecimientos de Venta al Público de Combustibles Derivados de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50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estaciones de servicio, grifos ni gasocentros a menos de 50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Locales de comercialización y consumo de bebidas alcohólicas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28681, Ley que regula la comercialización, consumo y publicidad de bebidas alcohólicas, y su Reglamento (D.S. N.° 012-2009-SA)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locales de venta y consumo de bebidas alcohólicas a menos de 100 m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de abastecimiento de combustibles líquidos y otros productos derivados de los hidrocarburos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045-2001-EM, Reglamento para la Comercialización de Combustibles Líquidos y otros Productos Derivados de los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100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de abastecimiento de combustibles ni de derivados de hidrocarburos.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Fajas marginales de las fuentes de agua, naturales o artificiales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001-2010-AG, Reglamento de la Ley N.° 29338, Ley de Recursos Hídricos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marginal de cada fuente de agua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fuentes de agua naturales ni artificiales colindantes; el predio no ocupa fajas marginales.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Sistema de transporte de hidrocarburos por ductos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081-2007-EM (modificado por el D.S. N.° 007-2012-EM), Reglamento de Transporte de Hidrocarburos por Ductos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menor de 200 m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 sistema de transporte de hidrocarburos por ductos.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Pozos para la exploración y explotación de hidrocarburos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032-2004-EM, Reglamento de las Actividades de Exploración y Explotación de Hidrocarburos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Área de las instalaciones de exploración y explotación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actividades de exploración ni de explotación de hidrocarburos.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Aeródromos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050-2001-MTC, Reglamento de la Ley de Aeronáutica Civil,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Superficies limitadoras de obstáculos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aeropuerto de Tarapoto está a unos 3.5 km, al costado del eje de la pista 17/35 (unos 2.4 km al oeste), fuera de las superficies de aproximación y despegue; las edificaciones del hogar son de baja altura.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de líneas aéreas de instalaciones eléctricas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214-2011-MEM/DM, Código Nacional de Electricidad (Suministro 2011)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de servidumbre según la tensión de la línea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líneas aéreas cuya faja de servidumbre ocupe 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de electroductos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Decreto Ley N.° 25844, Ley de Concesiones Eléctricas,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Servidumbre impuesta sobre el predio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electroductos ni servidumbres eléctricas impuestas sobre 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Restricciones radioeléctricas en áreas de uso público próximas a una estación radioeléctrica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120-2005-MTC/03, Norma Técnica sobre Restricciones Radioeléctricas en Áreas de Uso Público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Límites de exposición de la norma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estaciones radioeléctricas que afecten el predio; se cumple la R.M. N.° 120-2005-MTC/03.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Plantas de tratamiento de aguas residuales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011-2006-VIVIENDA, Norma OS.090 "Plantas de tratamiento de aguas residuales" del RNE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Distancia de la planta a la zona habitada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plantas de tratamiento de aguas residuales de terceros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Faja de terreno lateral y colindante al derecho de vía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034-2008-MTC, Reglamento Nacional de Gestión de Infraestructura Vial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Derecho de vía y faja de propiedad restringida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predio no está en área restringida; el cerco y las obras, incluido el colector pluvial frontal, quedan dentro del lindero, sin ocupar la faja de la carretera Oasis.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Zonas restringidas colindantes a las vías ferroviarias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D.S. N.° 032-2005-MTC, Reglamento Nacional de Ferrocarriles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restringida de la vía férrea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 vía ferroviaria en la zona.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Casinos y máquinas tragamonedas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27153, Ley que regula la explotación de los juegos de casino y máquinas tragamonedas, y sus modificatorias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Distancia de la ley y de la ordenanza municipal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casinos ni salas de máquinas tragamonedas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Hostales, peñas, discotecas, video-pubs, bingos y salas de billar</w:t>
            </w:r>
          </w:p>
        </w:tc>
        <w:tc>
          <w:tcPr>
            <w:tcW w:type="dxa" w:w="430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27972, Ley Orgánica de Municipalidades, art. 79 (organización del espacio físico y uso del suelo)</w:t>
            </w:r>
          </w:p>
        </w:tc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Zonificación y licencias municipales</w:t>
            </w:r>
          </w:p>
        </w:tc>
        <w:tc>
          <w:tcPr>
            <w:tcW w:type="dxa" w:w="425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existen hostales, peñas, discotecas, video-pubs, bingos ni salas de billar en el entorno del predio.</w:t>
            </w:r>
          </w:p>
        </w:tc>
        <w:tc>
          <w:tcPr>
            <w:tcW w:type="dxa" w:w="96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ectPr>
          <w:pgSz w:w="16838" w:h="11906" w:orient="landscape"/>
          <w:pgMar w:top="1417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5.  CONCLUSIONES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El predio cumple las 18 condiciones del cuadro de incompatibilidades de uso: no existen dentro de su área de influencia las actividades, instalaciones ni servidumbres que restringen la ubicación del Hogar de Refugio Temporal.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La ubicación cumple la Norma A.090 (art. 3) y la Norma A.040 (art. 7 b): el hogar se emplaza en una zona compatible y sin incompatibilidades de uso.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Los colindantes (CAR Varones y CAR Mujeres) son servicios de protección de la misma naturaleza, y la carretera Oasis da acceso al predio sin que las obras ocupen su faja.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La ubicación responde además a los lineamientos para refugios: zona tranquila, no aislada, con servicios cercanos y acceso vehicular.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95959"/>
        <w:sz w:val="17"/>
      </w:rPr>
      <w:t xml:space="preserve">Página </w:t>
    </w:r>
    <w:r>
      <w:rPr>
        <w:b w:val="0"/>
        <w:i w:val="0"/>
        <w:color w:val="595959"/>
        <w:sz w:val="17"/>
      </w:rPr>
      <w:fldChar w:fldCharType="begin"/>
    </w:r>
    <w:r>
      <w:rPr>
        <w:b w:val="0"/>
        <w:i w:val="0"/>
        <w:color w:val="595959"/>
        <w:sz w:val="17"/>
      </w:rPr>
      <w:instrText xml:space="preserve">PAGE</w:instrText>
    </w:r>
    <w:r>
      <w:rPr>
        <w:b w:val="0"/>
        <w:i w:val="0"/>
        <w:color w:val="595959"/>
        <w:sz w:val="17"/>
      </w:rPr>
      <w:fldChar w:fldCharType="separate"/>
    </w:r>
    <w:r>
      <w:rPr>
        <w:b w:val="0"/>
        <w:i w:val="0"/>
        <w:color w:val="595959"/>
        <w:sz w:val="17"/>
      </w:rPr>
      <w:t>1</w:t>
    </w:r>
    <w:r>
      <w:rPr>
        <w:b w:val="0"/>
        <w:i w:val="0"/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b/>
        <w:i w:val="0"/>
        <w:color w:val="7B1E2B"/>
        <w:sz w:val="16"/>
      </w:rPr>
      <w:t>INCOMPATIBILIDADES DE UBICACIÓN - ARQUITECTURA</w:t>
    </w:r>
    <w:r>
      <w:rPr>
        <w:b w:val="0"/>
        <w:i w:val="0"/>
        <w:color w:val="7B1E2B"/>
        <w:sz w:val="16"/>
      </w:rPr>
      <w:t xml:space="preserve">   |   HOGAR DE REFUGIO TEMPORAL - CUI N.° 2675514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incompatibilidades de ubicación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