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2EB9" w14:textId="77777777" w:rsidR="00960539" w:rsidRPr="00FF105B" w:rsidRDefault="00960539" w:rsidP="00960539">
      <w:pPr>
        <w:spacing w:before="120" w:line="276" w:lineRule="auto"/>
        <w:jc w:val="center"/>
        <w:rPr>
          <w:rFonts w:cs="Arial"/>
          <w:b/>
          <w:bCs/>
        </w:rPr>
      </w:pPr>
      <w:r w:rsidRPr="00FF105B">
        <w:rPr>
          <w:rFonts w:cs="Arial"/>
          <w:b/>
          <w:bCs/>
        </w:rPr>
        <w:t>ANÁLISIS DE INCOMPATIBILIDADES DE UBICACIÓN EN EL PROYECTO</w:t>
      </w:r>
    </w:p>
    <w:tbl>
      <w:tblPr>
        <w:tblW w:w="97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498"/>
        <w:gridCol w:w="2054"/>
        <w:gridCol w:w="4394"/>
        <w:gridCol w:w="2835"/>
      </w:tblGrid>
      <w:tr w:rsidR="00960539" w:rsidRPr="00FF105B" w14:paraId="11215702" w14:textId="77777777" w:rsidTr="00664652">
        <w:trPr>
          <w:trHeight w:val="144"/>
          <w:jc w:val="center"/>
        </w:trPr>
        <w:tc>
          <w:tcPr>
            <w:tcW w:w="9781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0B734E98" w14:textId="77777777" w:rsidR="00960539" w:rsidRPr="00FF105B" w:rsidRDefault="00960539" w:rsidP="00664652">
            <w:pPr>
              <w:jc w:val="center"/>
              <w:rPr>
                <w:rFonts w:eastAsia="Calibri" w:cs="Arial"/>
                <w:b/>
                <w:sz w:val="24"/>
                <w:szCs w:val="24"/>
              </w:rPr>
            </w:pPr>
          </w:p>
          <w:p w14:paraId="619AD989" w14:textId="77777777" w:rsidR="00960539" w:rsidRPr="00FF105B" w:rsidRDefault="00960539" w:rsidP="00664652">
            <w:pPr>
              <w:jc w:val="center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sz w:val="24"/>
                <w:szCs w:val="24"/>
              </w:rPr>
              <w:t xml:space="preserve">Cuadro </w:t>
            </w:r>
            <w:proofErr w:type="spellStart"/>
            <w:r w:rsidRPr="00FF105B">
              <w:rPr>
                <w:rFonts w:eastAsia="Calibri" w:cs="Arial"/>
                <w:b/>
                <w:sz w:val="24"/>
                <w:szCs w:val="24"/>
              </w:rPr>
              <w:t>Nº</w:t>
            </w:r>
            <w:proofErr w:type="spellEnd"/>
            <w:r w:rsidRPr="00FF105B">
              <w:rPr>
                <w:rFonts w:eastAsia="Calibri" w:cs="Arial"/>
                <w:b/>
                <w:sz w:val="24"/>
                <w:szCs w:val="24"/>
              </w:rPr>
              <w:t xml:space="preserve"> 1:</w:t>
            </w:r>
            <w:r w:rsidRPr="00FF105B">
              <w:rPr>
                <w:rFonts w:eastAsia="Calibri" w:cs="Arial"/>
                <w:sz w:val="24"/>
                <w:szCs w:val="24"/>
              </w:rPr>
              <w:t xml:space="preserve"> Cuadro de incompatibilidades de uso de terreno, según RVM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Nº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010 -2022 – Criterios Generales de Diseño para Infraestructura Educativa – Infraestructura Hogar de Refugio Temporal.</w:t>
            </w:r>
          </w:p>
          <w:p w14:paraId="0C983F14" w14:textId="77777777" w:rsidR="00960539" w:rsidRPr="00FF105B" w:rsidRDefault="00960539" w:rsidP="00664652">
            <w:pPr>
              <w:jc w:val="center"/>
              <w:rPr>
                <w:rFonts w:eastAsia="Calibri" w:cs="Arial"/>
                <w:sz w:val="24"/>
                <w:szCs w:val="24"/>
              </w:rPr>
            </w:pPr>
          </w:p>
          <w:p w14:paraId="47B8A1BB" w14:textId="77777777" w:rsidR="00960539" w:rsidRPr="00FF105B" w:rsidRDefault="00960539" w:rsidP="00664652">
            <w:pPr>
              <w:rPr>
                <w:rFonts w:eastAsia="Century Gothic" w:cs="Arial"/>
                <w:b/>
                <w:iCs/>
                <w:sz w:val="2"/>
                <w:szCs w:val="2"/>
                <w:lang w:bidi="es-ES"/>
              </w:rPr>
            </w:pPr>
          </w:p>
        </w:tc>
      </w:tr>
      <w:tr w:rsidR="00960539" w:rsidRPr="00FF105B" w14:paraId="1643EEF0" w14:textId="77777777" w:rsidTr="00664652">
        <w:trPr>
          <w:trHeight w:val="725"/>
          <w:jc w:val="center"/>
        </w:trPr>
        <w:tc>
          <w:tcPr>
            <w:tcW w:w="2552" w:type="dxa"/>
            <w:gridSpan w:val="2"/>
            <w:shd w:val="clear" w:color="auto" w:fill="E59EDC" w:themeFill="accent5" w:themeFillTint="66"/>
            <w:vAlign w:val="center"/>
          </w:tcPr>
          <w:p w14:paraId="4713938F" w14:textId="77777777" w:rsidR="00960539" w:rsidRPr="00FF105B" w:rsidRDefault="00960539" w:rsidP="00664652">
            <w:pPr>
              <w:jc w:val="center"/>
              <w:rPr>
                <w:rFonts w:eastAsia="Calibri" w:cs="Arial"/>
                <w:b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sz w:val="23"/>
                <w:szCs w:val="23"/>
              </w:rPr>
              <w:t>INCOMPATIBILIDAD</w:t>
            </w:r>
            <w:r w:rsidRPr="00FF105B">
              <w:rPr>
                <w:rFonts w:eastAsia="Calibri" w:cs="Arial"/>
                <w:b/>
              </w:rPr>
              <w:t xml:space="preserve"> </w:t>
            </w:r>
            <w:r w:rsidRPr="00FF105B">
              <w:rPr>
                <w:rFonts w:eastAsia="Calibri" w:cs="Arial"/>
                <w:b/>
                <w:sz w:val="24"/>
                <w:szCs w:val="24"/>
              </w:rPr>
              <w:t>POR CERCANÍA DE LOS HRT</w:t>
            </w:r>
          </w:p>
        </w:tc>
        <w:tc>
          <w:tcPr>
            <w:tcW w:w="4394" w:type="dxa"/>
            <w:shd w:val="clear" w:color="auto" w:fill="E59EDC" w:themeFill="accent5" w:themeFillTint="66"/>
            <w:vAlign w:val="center"/>
          </w:tcPr>
          <w:p w14:paraId="5510B8C1" w14:textId="77777777" w:rsidR="00960539" w:rsidRPr="00FF105B" w:rsidRDefault="00960539" w:rsidP="00664652">
            <w:pPr>
              <w:jc w:val="center"/>
              <w:rPr>
                <w:rFonts w:eastAsia="Calibri" w:cs="Arial"/>
                <w:b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sz w:val="24"/>
                <w:szCs w:val="24"/>
              </w:rPr>
              <w:t>DISPOSITIVO LEGAL QUE SUSTENTA LA INCOMPATIBILIDAD DE UBICACIÓN</w:t>
            </w:r>
          </w:p>
        </w:tc>
        <w:tc>
          <w:tcPr>
            <w:tcW w:w="2835" w:type="dxa"/>
            <w:shd w:val="clear" w:color="auto" w:fill="E59EDC" w:themeFill="accent5" w:themeFillTint="66"/>
            <w:vAlign w:val="center"/>
          </w:tcPr>
          <w:p w14:paraId="7D8C9BDA" w14:textId="77777777" w:rsidR="00960539" w:rsidRPr="00FF105B" w:rsidRDefault="00960539" w:rsidP="00664652">
            <w:pPr>
              <w:jc w:val="center"/>
              <w:rPr>
                <w:rFonts w:eastAsia="Calibri" w:cs="Arial"/>
                <w:b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sz w:val="24"/>
                <w:szCs w:val="24"/>
              </w:rPr>
              <w:t>ESTADO</w:t>
            </w:r>
          </w:p>
        </w:tc>
      </w:tr>
      <w:tr w:rsidR="00960539" w:rsidRPr="00FF105B" w14:paraId="45A55F7D" w14:textId="77777777" w:rsidTr="00664652">
        <w:trPr>
          <w:trHeight w:val="960"/>
          <w:jc w:val="center"/>
        </w:trPr>
        <w:tc>
          <w:tcPr>
            <w:tcW w:w="498" w:type="dxa"/>
            <w:vAlign w:val="center"/>
          </w:tcPr>
          <w:p w14:paraId="473220AA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1</w:t>
            </w:r>
          </w:p>
        </w:tc>
        <w:tc>
          <w:tcPr>
            <w:tcW w:w="2054" w:type="dxa"/>
            <w:vAlign w:val="center"/>
          </w:tcPr>
          <w:p w14:paraId="691BEB6D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los velatorios y cementerios.</w:t>
            </w:r>
          </w:p>
        </w:tc>
        <w:tc>
          <w:tcPr>
            <w:tcW w:w="4394" w:type="dxa"/>
            <w:vAlign w:val="center"/>
          </w:tcPr>
          <w:p w14:paraId="6F23B459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D.S.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003-94-SA Reglamento de la Ley de Cementerios y Servicios Funerarios. (No Menor a 150 m.)</w:t>
            </w:r>
          </w:p>
        </w:tc>
        <w:tc>
          <w:tcPr>
            <w:tcW w:w="2835" w:type="dxa"/>
            <w:vAlign w:val="center"/>
          </w:tcPr>
          <w:p w14:paraId="47CAAEEC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  <w:r w:rsidRPr="00FF105B">
              <w:rPr>
                <w:rFonts w:eastAsia="Calibri" w:cs="Arial"/>
                <w:sz w:val="24"/>
                <w:szCs w:val="24"/>
              </w:rPr>
              <w:t>, no existe centro velatorio dentro de los 150 m.</w:t>
            </w:r>
          </w:p>
        </w:tc>
      </w:tr>
      <w:tr w:rsidR="00960539" w:rsidRPr="00FF105B" w14:paraId="13705ED8" w14:textId="77777777" w:rsidTr="00664652">
        <w:trPr>
          <w:trHeight w:val="2916"/>
          <w:jc w:val="center"/>
        </w:trPr>
        <w:tc>
          <w:tcPr>
            <w:tcW w:w="498" w:type="dxa"/>
            <w:vAlign w:val="center"/>
          </w:tcPr>
          <w:p w14:paraId="744D0A62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2</w:t>
            </w:r>
          </w:p>
        </w:tc>
        <w:tc>
          <w:tcPr>
            <w:tcW w:w="2054" w:type="dxa"/>
            <w:vAlign w:val="center"/>
          </w:tcPr>
          <w:p w14:paraId="4A9458D9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los establecimientos de salud.</w:t>
            </w:r>
          </w:p>
        </w:tc>
        <w:tc>
          <w:tcPr>
            <w:tcW w:w="4394" w:type="dxa"/>
            <w:vAlign w:val="center"/>
          </w:tcPr>
          <w:p w14:paraId="3821516D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R.M.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045-2015/MINSA Norma Técnica de Salud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113-MINSA/DGIEM-V.01 “Infraestructura y equipamiento de los establecimientos de salud del Primer Nivel de Atención” y sus modificaciones R.M.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862-2015/MINSA Norma Técnica de Salud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119-MINSA/DGIEM-V.01</w:t>
            </w:r>
          </w:p>
          <w:p w14:paraId="713D9F35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“Infraestructura y equipamiento de los establecimientos de salud del Tercer Nivel de Atención”. (No Menor a 100 m.)</w:t>
            </w:r>
          </w:p>
        </w:tc>
        <w:tc>
          <w:tcPr>
            <w:tcW w:w="2835" w:type="dxa"/>
            <w:vAlign w:val="center"/>
          </w:tcPr>
          <w:p w14:paraId="6411A193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  <w:r w:rsidRPr="00FF105B">
              <w:rPr>
                <w:rFonts w:eastAsia="Calibri" w:cs="Arial"/>
                <w:sz w:val="24"/>
                <w:szCs w:val="24"/>
              </w:rPr>
              <w:t>, el centro de salud de la localidad se encuentra a más de 100 metros de las I.E.</w:t>
            </w:r>
          </w:p>
        </w:tc>
      </w:tr>
      <w:tr w:rsidR="00960539" w:rsidRPr="00FF105B" w14:paraId="70EED3A7" w14:textId="77777777" w:rsidTr="00664652">
        <w:trPr>
          <w:trHeight w:val="776"/>
          <w:jc w:val="center"/>
        </w:trPr>
        <w:tc>
          <w:tcPr>
            <w:tcW w:w="498" w:type="dxa"/>
            <w:vAlign w:val="center"/>
          </w:tcPr>
          <w:p w14:paraId="58F34129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3</w:t>
            </w:r>
          </w:p>
        </w:tc>
        <w:tc>
          <w:tcPr>
            <w:tcW w:w="2054" w:type="dxa"/>
            <w:vAlign w:val="center"/>
          </w:tcPr>
          <w:p w14:paraId="0717A0AF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las plantas envasadoras de gas licuado de petróleo (GLP).</w:t>
            </w:r>
          </w:p>
        </w:tc>
        <w:tc>
          <w:tcPr>
            <w:tcW w:w="4394" w:type="dxa"/>
            <w:vAlign w:val="center"/>
          </w:tcPr>
          <w:p w14:paraId="307C046F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D.S.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027-94-EM Reglamento de seguridad para instalaciones y transporte de Gas Licuado de Petróleo. (No Menor a 100 m.)</w:t>
            </w:r>
          </w:p>
        </w:tc>
        <w:tc>
          <w:tcPr>
            <w:tcW w:w="2835" w:type="dxa"/>
            <w:vAlign w:val="center"/>
          </w:tcPr>
          <w:p w14:paraId="20C2EC45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  <w:r w:rsidRPr="00FF105B">
              <w:rPr>
                <w:rFonts w:eastAsia="Calibri" w:cs="Arial"/>
                <w:sz w:val="24"/>
                <w:szCs w:val="24"/>
              </w:rPr>
              <w:t>, no existe planta de envasadora de gas licuado de petróleo.</w:t>
            </w:r>
          </w:p>
        </w:tc>
      </w:tr>
      <w:tr w:rsidR="00960539" w:rsidRPr="00FF105B" w14:paraId="02E5E499" w14:textId="77777777" w:rsidTr="00664652">
        <w:trPr>
          <w:trHeight w:val="1483"/>
          <w:jc w:val="center"/>
        </w:trPr>
        <w:tc>
          <w:tcPr>
            <w:tcW w:w="498" w:type="dxa"/>
            <w:vAlign w:val="center"/>
          </w:tcPr>
          <w:p w14:paraId="153A9D8A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4</w:t>
            </w:r>
          </w:p>
        </w:tc>
        <w:tc>
          <w:tcPr>
            <w:tcW w:w="2054" w:type="dxa"/>
            <w:vAlign w:val="center"/>
          </w:tcPr>
          <w:p w14:paraId="04BA71F5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En relación a las estaciones de servicio y puestos de venta de combustibles (grifos),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gasocentros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y establecimientos de venta al público de GNV.</w:t>
            </w:r>
          </w:p>
        </w:tc>
        <w:tc>
          <w:tcPr>
            <w:tcW w:w="4394" w:type="dxa"/>
            <w:vAlign w:val="center"/>
          </w:tcPr>
          <w:p w14:paraId="7FB267AB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D.S.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054-93-EM (modificado por el D.S.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037-2007- EM) Reglamento de Seguridad para Establecimientos de Venta al Público de Combustible Derivados de Hidrocarburos. (No Menor a 50 m.)</w:t>
            </w:r>
          </w:p>
        </w:tc>
        <w:tc>
          <w:tcPr>
            <w:tcW w:w="2835" w:type="dxa"/>
            <w:vAlign w:val="center"/>
          </w:tcPr>
          <w:p w14:paraId="7A3FF6A4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  <w:r w:rsidRPr="00FF105B">
              <w:rPr>
                <w:rFonts w:eastAsia="Calibri" w:cs="Arial"/>
                <w:sz w:val="24"/>
                <w:szCs w:val="24"/>
              </w:rPr>
              <w:t>, no se encontró dentro del área definida para la UP.</w:t>
            </w:r>
          </w:p>
        </w:tc>
      </w:tr>
      <w:tr w:rsidR="00960539" w:rsidRPr="00FF105B" w14:paraId="067F7F6F" w14:textId="77777777" w:rsidTr="00664652">
        <w:trPr>
          <w:trHeight w:val="1443"/>
          <w:jc w:val="center"/>
        </w:trPr>
        <w:tc>
          <w:tcPr>
            <w:tcW w:w="498" w:type="dxa"/>
            <w:vAlign w:val="center"/>
          </w:tcPr>
          <w:p w14:paraId="487F6E2A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5</w:t>
            </w:r>
          </w:p>
        </w:tc>
        <w:tc>
          <w:tcPr>
            <w:tcW w:w="2054" w:type="dxa"/>
            <w:vAlign w:val="center"/>
          </w:tcPr>
          <w:p w14:paraId="5BB21E05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los locales de comercialización y consumo de bebidas alcohólicas.</w:t>
            </w:r>
          </w:p>
        </w:tc>
        <w:tc>
          <w:tcPr>
            <w:tcW w:w="4394" w:type="dxa"/>
            <w:vAlign w:val="center"/>
          </w:tcPr>
          <w:p w14:paraId="5B3691B6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Ley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28681 Ley que regula la comercialización, consumo y publicidad de bebidas alcohólicas D.S.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012- 2009-SA Reglamento de la Ley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28681, que regula la Comercialización Consumo y Publicidad de Bebidas Alcohólicas. (No Menor a 100 m.)</w:t>
            </w:r>
          </w:p>
        </w:tc>
        <w:tc>
          <w:tcPr>
            <w:tcW w:w="2835" w:type="dxa"/>
            <w:vAlign w:val="center"/>
          </w:tcPr>
          <w:p w14:paraId="5780E289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  <w:r w:rsidRPr="00FF105B">
              <w:rPr>
                <w:rFonts w:eastAsia="Calibri" w:cs="Arial"/>
                <w:sz w:val="24"/>
                <w:szCs w:val="24"/>
              </w:rPr>
              <w:t>, no se encontró dentro del área definida para la UP.</w:t>
            </w:r>
          </w:p>
        </w:tc>
      </w:tr>
      <w:tr w:rsidR="00960539" w:rsidRPr="00FF105B" w14:paraId="6FE3226E" w14:textId="77777777" w:rsidTr="00664652">
        <w:trPr>
          <w:trHeight w:val="1407"/>
          <w:jc w:val="center"/>
        </w:trPr>
        <w:tc>
          <w:tcPr>
            <w:tcW w:w="498" w:type="dxa"/>
            <w:vAlign w:val="center"/>
          </w:tcPr>
          <w:p w14:paraId="64487ABF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6</w:t>
            </w:r>
          </w:p>
        </w:tc>
        <w:tc>
          <w:tcPr>
            <w:tcW w:w="2054" w:type="dxa"/>
            <w:vAlign w:val="center"/>
          </w:tcPr>
          <w:p w14:paraId="4B99DEC8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las plantas de abastecimiento</w:t>
            </w:r>
            <w:r w:rsidRPr="00FF105B">
              <w:rPr>
                <w:rFonts w:eastAsia="Calibri" w:cs="Arial"/>
                <w:sz w:val="24"/>
                <w:szCs w:val="24"/>
              </w:rPr>
              <w:tab/>
              <w:t>de combustibles líquidos y otros productos derivados de los hidrocarburos.</w:t>
            </w:r>
          </w:p>
        </w:tc>
        <w:tc>
          <w:tcPr>
            <w:tcW w:w="4394" w:type="dxa"/>
            <w:vAlign w:val="center"/>
          </w:tcPr>
          <w:p w14:paraId="69047FFC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D.S.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045-2001-EM Reglamento para la Comercialización de Combustibles Líquidos y otros productos derivados de los Hidrocarburos. (No Menor a 100 m.)</w:t>
            </w:r>
          </w:p>
        </w:tc>
        <w:tc>
          <w:tcPr>
            <w:tcW w:w="2835" w:type="dxa"/>
            <w:vAlign w:val="center"/>
          </w:tcPr>
          <w:p w14:paraId="6CAEE4E0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</w:p>
          <w:p w14:paraId="0C8F48A9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No existe planta de abastecimiento de derivados de hidrocarburos.</w:t>
            </w:r>
          </w:p>
        </w:tc>
      </w:tr>
      <w:tr w:rsidR="00960539" w:rsidRPr="00FF105B" w14:paraId="70D04253" w14:textId="77777777" w:rsidTr="00664652">
        <w:trPr>
          <w:trHeight w:val="1063"/>
          <w:jc w:val="center"/>
        </w:trPr>
        <w:tc>
          <w:tcPr>
            <w:tcW w:w="498" w:type="dxa"/>
            <w:vAlign w:val="center"/>
          </w:tcPr>
          <w:p w14:paraId="77ACC826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lastRenderedPageBreak/>
              <w:t>7</w:t>
            </w:r>
          </w:p>
        </w:tc>
        <w:tc>
          <w:tcPr>
            <w:tcW w:w="2054" w:type="dxa"/>
            <w:vAlign w:val="center"/>
          </w:tcPr>
          <w:p w14:paraId="3A87531D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las fajas marginales de las fuentes de agua, naturales o artificiales.</w:t>
            </w:r>
          </w:p>
        </w:tc>
        <w:tc>
          <w:tcPr>
            <w:tcW w:w="4394" w:type="dxa"/>
            <w:vAlign w:val="center"/>
          </w:tcPr>
          <w:p w14:paraId="748C5C5E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D.S.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001-2010-AG Reglamento de la Ley de Recursos Hídricos.</w:t>
            </w:r>
          </w:p>
        </w:tc>
        <w:tc>
          <w:tcPr>
            <w:tcW w:w="2835" w:type="dxa"/>
            <w:vAlign w:val="center"/>
          </w:tcPr>
          <w:p w14:paraId="47C08460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</w:p>
          <w:p w14:paraId="3FA32507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No se encuentra áreas de fuentes de agua naturales o artificiales</w:t>
            </w:r>
          </w:p>
        </w:tc>
      </w:tr>
      <w:tr w:rsidR="00960539" w:rsidRPr="00FF105B" w14:paraId="4A04660E" w14:textId="77777777" w:rsidTr="00664652">
        <w:trPr>
          <w:trHeight w:val="936"/>
          <w:jc w:val="center"/>
        </w:trPr>
        <w:tc>
          <w:tcPr>
            <w:tcW w:w="498" w:type="dxa"/>
            <w:vAlign w:val="center"/>
          </w:tcPr>
          <w:p w14:paraId="008D609E" w14:textId="77777777" w:rsidR="00960539" w:rsidRPr="00FF105B" w:rsidRDefault="00960539" w:rsidP="00664652">
            <w:pPr>
              <w:jc w:val="both"/>
              <w:rPr>
                <w:rFonts w:eastAsia="Calibri" w:cs="Arial"/>
                <w:bCs/>
                <w:sz w:val="24"/>
                <w:szCs w:val="24"/>
              </w:rPr>
            </w:pPr>
            <w:r w:rsidRPr="00FF105B">
              <w:rPr>
                <w:rFonts w:eastAsia="Calibri" w:cs="Arial"/>
                <w:bCs/>
                <w:sz w:val="24"/>
                <w:szCs w:val="24"/>
              </w:rPr>
              <w:t>8</w:t>
            </w:r>
          </w:p>
        </w:tc>
        <w:tc>
          <w:tcPr>
            <w:tcW w:w="2054" w:type="dxa"/>
            <w:vAlign w:val="center"/>
          </w:tcPr>
          <w:p w14:paraId="4AC0479E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al sistema de transporte de hidrocarburos por ductos</w:t>
            </w:r>
          </w:p>
        </w:tc>
        <w:tc>
          <w:tcPr>
            <w:tcW w:w="4394" w:type="dxa"/>
            <w:vAlign w:val="center"/>
          </w:tcPr>
          <w:p w14:paraId="4D885768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D.S.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081-2007-EM (modificado por D.S. N°007-2012- EM) Reglamento de Transporte de Hidrocarburos por Ductos. (No Menor a 200 m.)</w:t>
            </w:r>
          </w:p>
        </w:tc>
        <w:tc>
          <w:tcPr>
            <w:tcW w:w="2835" w:type="dxa"/>
            <w:vAlign w:val="center"/>
          </w:tcPr>
          <w:p w14:paraId="028E2260" w14:textId="77777777" w:rsidR="00960539" w:rsidRPr="00FF105B" w:rsidRDefault="00960539" w:rsidP="00664652">
            <w:pPr>
              <w:jc w:val="both"/>
              <w:rPr>
                <w:rFonts w:eastAsia="Calibri" w:cs="Arial"/>
                <w:b/>
                <w:bCs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</w:p>
          <w:p w14:paraId="21C97E70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No existe sistema de ductos de transporte de hidrocarburos.</w:t>
            </w:r>
          </w:p>
        </w:tc>
      </w:tr>
      <w:tr w:rsidR="00960539" w:rsidRPr="00FF105B" w14:paraId="5247649C" w14:textId="77777777" w:rsidTr="00664652">
        <w:trPr>
          <w:trHeight w:val="674"/>
          <w:jc w:val="center"/>
        </w:trPr>
        <w:tc>
          <w:tcPr>
            <w:tcW w:w="498" w:type="dxa"/>
            <w:vAlign w:val="center"/>
          </w:tcPr>
          <w:p w14:paraId="25CC0FFD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9</w:t>
            </w:r>
          </w:p>
        </w:tc>
        <w:tc>
          <w:tcPr>
            <w:tcW w:w="2054" w:type="dxa"/>
            <w:vAlign w:val="center"/>
          </w:tcPr>
          <w:p w14:paraId="208E1BC7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los pozos para la exploración y explotación de hidrocarburos.</w:t>
            </w:r>
          </w:p>
        </w:tc>
        <w:tc>
          <w:tcPr>
            <w:tcW w:w="4394" w:type="dxa"/>
            <w:vAlign w:val="center"/>
          </w:tcPr>
          <w:p w14:paraId="06CC63FC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D.S.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032-2004-EM Reglamento de las Actividades de Exploración y Explotación de Hidrocarburos.</w:t>
            </w:r>
          </w:p>
        </w:tc>
        <w:tc>
          <w:tcPr>
            <w:tcW w:w="2835" w:type="dxa"/>
            <w:vAlign w:val="center"/>
          </w:tcPr>
          <w:p w14:paraId="6A2460FC" w14:textId="77777777" w:rsidR="00960539" w:rsidRPr="00FF105B" w:rsidRDefault="00960539" w:rsidP="00664652">
            <w:pPr>
              <w:jc w:val="both"/>
              <w:rPr>
                <w:rFonts w:eastAsia="Calibri" w:cs="Arial"/>
                <w:b/>
                <w:bCs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</w:p>
          <w:p w14:paraId="10A9845C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No existe exploración y explotación de hidrocarburos.</w:t>
            </w:r>
          </w:p>
        </w:tc>
      </w:tr>
      <w:tr w:rsidR="00960539" w:rsidRPr="00FF105B" w14:paraId="4139855A" w14:textId="77777777" w:rsidTr="00664652">
        <w:trPr>
          <w:trHeight w:val="513"/>
          <w:jc w:val="center"/>
        </w:trPr>
        <w:tc>
          <w:tcPr>
            <w:tcW w:w="498" w:type="dxa"/>
            <w:vAlign w:val="center"/>
          </w:tcPr>
          <w:p w14:paraId="17EB8E70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10</w:t>
            </w:r>
          </w:p>
        </w:tc>
        <w:tc>
          <w:tcPr>
            <w:tcW w:w="2054" w:type="dxa"/>
            <w:vAlign w:val="center"/>
          </w:tcPr>
          <w:p w14:paraId="42C42964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los aeródromos.</w:t>
            </w:r>
          </w:p>
        </w:tc>
        <w:tc>
          <w:tcPr>
            <w:tcW w:w="4394" w:type="dxa"/>
            <w:vAlign w:val="center"/>
          </w:tcPr>
          <w:p w14:paraId="7A74BED6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D.S.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050-2001-MTC Reglamento de la Ley de Aeronáutica Civil y sus modificaciones.</w:t>
            </w:r>
          </w:p>
        </w:tc>
        <w:tc>
          <w:tcPr>
            <w:tcW w:w="2835" w:type="dxa"/>
            <w:vAlign w:val="center"/>
          </w:tcPr>
          <w:p w14:paraId="6BCA0BF4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  <w:r w:rsidRPr="00FF105B">
              <w:rPr>
                <w:rFonts w:eastAsia="Calibri" w:cs="Arial"/>
                <w:sz w:val="24"/>
                <w:szCs w:val="24"/>
              </w:rPr>
              <w:t>, no se encontró dentro del área definida para la UP.</w:t>
            </w:r>
          </w:p>
        </w:tc>
      </w:tr>
      <w:tr w:rsidR="00960539" w:rsidRPr="00FF105B" w14:paraId="2396C1A0" w14:textId="77777777" w:rsidTr="00664652">
        <w:trPr>
          <w:trHeight w:val="479"/>
          <w:jc w:val="center"/>
        </w:trPr>
        <w:tc>
          <w:tcPr>
            <w:tcW w:w="498" w:type="dxa"/>
            <w:vAlign w:val="center"/>
          </w:tcPr>
          <w:p w14:paraId="56BDB552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11</w:t>
            </w:r>
          </w:p>
        </w:tc>
        <w:tc>
          <w:tcPr>
            <w:tcW w:w="2054" w:type="dxa"/>
            <w:vAlign w:val="center"/>
          </w:tcPr>
          <w:p w14:paraId="46E1ECA5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la servidumbre de</w:t>
            </w:r>
            <w:r w:rsidRPr="00FF105B">
              <w:rPr>
                <w:rFonts w:eastAsia="Calibri" w:cs="Arial"/>
                <w:sz w:val="24"/>
                <w:szCs w:val="24"/>
              </w:rPr>
              <w:tab/>
              <w:t>líneas aéreas</w:t>
            </w:r>
            <w:r w:rsidRPr="00FF105B">
              <w:rPr>
                <w:rFonts w:eastAsia="Calibri" w:cs="Arial"/>
                <w:sz w:val="24"/>
                <w:szCs w:val="24"/>
              </w:rPr>
              <w:tab/>
              <w:t>de instalaciones eléctricas.</w:t>
            </w:r>
          </w:p>
        </w:tc>
        <w:tc>
          <w:tcPr>
            <w:tcW w:w="4394" w:type="dxa"/>
            <w:vAlign w:val="center"/>
          </w:tcPr>
          <w:p w14:paraId="64405852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R.M.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Nº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214-2011-MEM/DM Código Nacional de Electricidad (Suministro 2011).</w:t>
            </w:r>
          </w:p>
        </w:tc>
        <w:tc>
          <w:tcPr>
            <w:tcW w:w="2835" w:type="dxa"/>
            <w:vAlign w:val="center"/>
          </w:tcPr>
          <w:p w14:paraId="13892E97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</w:p>
          <w:p w14:paraId="10CD0072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No se observa servidumbre de líneas aéreas dentro del área de estudio.</w:t>
            </w:r>
          </w:p>
        </w:tc>
      </w:tr>
      <w:tr w:rsidR="00960539" w:rsidRPr="00FF105B" w14:paraId="145D1788" w14:textId="77777777" w:rsidTr="00664652">
        <w:trPr>
          <w:trHeight w:val="419"/>
          <w:jc w:val="center"/>
        </w:trPr>
        <w:tc>
          <w:tcPr>
            <w:tcW w:w="498" w:type="dxa"/>
            <w:vAlign w:val="center"/>
          </w:tcPr>
          <w:p w14:paraId="698ED10B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12</w:t>
            </w:r>
          </w:p>
        </w:tc>
        <w:tc>
          <w:tcPr>
            <w:tcW w:w="2054" w:type="dxa"/>
            <w:vAlign w:val="center"/>
          </w:tcPr>
          <w:p w14:paraId="26F67C7F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servidumbre de electroductos.</w:t>
            </w:r>
          </w:p>
        </w:tc>
        <w:tc>
          <w:tcPr>
            <w:tcW w:w="4394" w:type="dxa"/>
            <w:vAlign w:val="center"/>
          </w:tcPr>
          <w:p w14:paraId="5912E462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Decreto Ley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Nº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25884 y sus modificatorias. Ley de Concesiones Eléctricas.</w:t>
            </w:r>
          </w:p>
        </w:tc>
        <w:tc>
          <w:tcPr>
            <w:tcW w:w="2835" w:type="dxa"/>
            <w:vAlign w:val="center"/>
          </w:tcPr>
          <w:p w14:paraId="44D0720C" w14:textId="77777777" w:rsidR="00960539" w:rsidRPr="00FF105B" w:rsidRDefault="00960539" w:rsidP="00664652">
            <w:pPr>
              <w:jc w:val="both"/>
              <w:rPr>
                <w:rFonts w:eastAsia="Calibri" w:cs="Arial"/>
                <w:b/>
                <w:bCs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</w:p>
          <w:p w14:paraId="0BB40629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No existe electroductos.</w:t>
            </w:r>
          </w:p>
        </w:tc>
      </w:tr>
      <w:tr w:rsidR="00960539" w:rsidRPr="00FF105B" w14:paraId="5B00BAF8" w14:textId="77777777" w:rsidTr="00664652">
        <w:trPr>
          <w:trHeight w:val="479"/>
          <w:jc w:val="center"/>
        </w:trPr>
        <w:tc>
          <w:tcPr>
            <w:tcW w:w="498" w:type="dxa"/>
            <w:vAlign w:val="center"/>
          </w:tcPr>
          <w:p w14:paraId="525C7E91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13</w:t>
            </w:r>
          </w:p>
        </w:tc>
        <w:tc>
          <w:tcPr>
            <w:tcW w:w="2054" w:type="dxa"/>
            <w:vAlign w:val="center"/>
          </w:tcPr>
          <w:p w14:paraId="4170696D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restricciones radioeléctricas en áreas de uso público cuando una Institución Educativa se encuentre próximo a una estación radioeléctrica.</w:t>
            </w:r>
          </w:p>
        </w:tc>
        <w:tc>
          <w:tcPr>
            <w:tcW w:w="4394" w:type="dxa"/>
            <w:vAlign w:val="center"/>
          </w:tcPr>
          <w:p w14:paraId="108951E4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R.M.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Nº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120-2005-MTC/03 Norma Técnica sobre Restricciones Radioeléctricas.</w:t>
            </w:r>
          </w:p>
        </w:tc>
        <w:tc>
          <w:tcPr>
            <w:tcW w:w="2835" w:type="dxa"/>
            <w:vAlign w:val="center"/>
          </w:tcPr>
          <w:p w14:paraId="7F1762C1" w14:textId="77777777" w:rsidR="00960539" w:rsidRPr="00FF105B" w:rsidRDefault="00960539" w:rsidP="00664652">
            <w:pPr>
              <w:jc w:val="both"/>
              <w:rPr>
                <w:rFonts w:eastAsia="Calibri" w:cs="Arial"/>
                <w:b/>
                <w:bCs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</w:p>
          <w:p w14:paraId="3F347887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Se cumple con la R.M.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Nº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120-2005-MTC/03 Norma Técnica sobre Restricciones Radioeléctricas.</w:t>
            </w:r>
          </w:p>
        </w:tc>
      </w:tr>
      <w:tr w:rsidR="00960539" w:rsidRPr="00FF105B" w14:paraId="48DB177D" w14:textId="77777777" w:rsidTr="00664652">
        <w:trPr>
          <w:trHeight w:val="479"/>
          <w:jc w:val="center"/>
        </w:trPr>
        <w:tc>
          <w:tcPr>
            <w:tcW w:w="498" w:type="dxa"/>
            <w:vAlign w:val="center"/>
          </w:tcPr>
          <w:p w14:paraId="46119376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14</w:t>
            </w:r>
          </w:p>
        </w:tc>
        <w:tc>
          <w:tcPr>
            <w:tcW w:w="2054" w:type="dxa"/>
            <w:vAlign w:val="center"/>
          </w:tcPr>
          <w:p w14:paraId="2B52E7C4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plantas de tratamiento de aguas residuales.</w:t>
            </w:r>
          </w:p>
        </w:tc>
        <w:tc>
          <w:tcPr>
            <w:tcW w:w="4394" w:type="dxa"/>
            <w:vAlign w:val="center"/>
          </w:tcPr>
          <w:p w14:paraId="26921223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Decreto Supremo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N°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011-2006-VIVIENDA</w:t>
            </w:r>
          </w:p>
          <w:p w14:paraId="4CCE8A94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Norma OS.090 del RNE. Plantas de tratamiento de aguas residuales.</w:t>
            </w:r>
          </w:p>
        </w:tc>
        <w:tc>
          <w:tcPr>
            <w:tcW w:w="2835" w:type="dxa"/>
            <w:vAlign w:val="center"/>
          </w:tcPr>
          <w:p w14:paraId="2AA71CA5" w14:textId="77777777" w:rsidR="00960539" w:rsidRPr="00FF105B" w:rsidRDefault="00960539" w:rsidP="00664652">
            <w:pPr>
              <w:jc w:val="both"/>
              <w:rPr>
                <w:rFonts w:eastAsia="Calibri" w:cs="Arial"/>
                <w:b/>
                <w:bCs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</w:p>
          <w:p w14:paraId="6802A75A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No se encontró dentro del área definida para la UP.</w:t>
            </w:r>
          </w:p>
        </w:tc>
      </w:tr>
      <w:tr w:rsidR="00960539" w:rsidRPr="00FF105B" w14:paraId="11626BE2" w14:textId="77777777" w:rsidTr="00664652">
        <w:trPr>
          <w:trHeight w:val="479"/>
          <w:jc w:val="center"/>
        </w:trPr>
        <w:tc>
          <w:tcPr>
            <w:tcW w:w="498" w:type="dxa"/>
            <w:vAlign w:val="center"/>
          </w:tcPr>
          <w:p w14:paraId="1820F08D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15</w:t>
            </w:r>
          </w:p>
        </w:tc>
        <w:tc>
          <w:tcPr>
            <w:tcW w:w="2054" w:type="dxa"/>
            <w:vAlign w:val="center"/>
          </w:tcPr>
          <w:p w14:paraId="42B91868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la faja de terreno lateral y colindante al derecho de vía.</w:t>
            </w:r>
          </w:p>
        </w:tc>
        <w:tc>
          <w:tcPr>
            <w:tcW w:w="4394" w:type="dxa"/>
            <w:vAlign w:val="center"/>
          </w:tcPr>
          <w:p w14:paraId="51EA16B0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D.S.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Nº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034-2008-MTC: Reglamento Nacional de Gestión de Infraestructura Vial.</w:t>
            </w:r>
          </w:p>
        </w:tc>
        <w:tc>
          <w:tcPr>
            <w:tcW w:w="2835" w:type="dxa"/>
            <w:vAlign w:val="center"/>
          </w:tcPr>
          <w:p w14:paraId="1C752DAA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</w:p>
          <w:p w14:paraId="5665906C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El área de la I.E. no se encuentra en un área restringida de construcción.</w:t>
            </w:r>
          </w:p>
        </w:tc>
      </w:tr>
      <w:tr w:rsidR="00960539" w:rsidRPr="00FF105B" w14:paraId="4D5CE4AA" w14:textId="77777777" w:rsidTr="00664652">
        <w:trPr>
          <w:trHeight w:val="703"/>
          <w:jc w:val="center"/>
        </w:trPr>
        <w:tc>
          <w:tcPr>
            <w:tcW w:w="498" w:type="dxa"/>
            <w:vAlign w:val="center"/>
          </w:tcPr>
          <w:p w14:paraId="07D17F1E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16</w:t>
            </w:r>
          </w:p>
        </w:tc>
        <w:tc>
          <w:tcPr>
            <w:tcW w:w="2054" w:type="dxa"/>
            <w:vAlign w:val="center"/>
          </w:tcPr>
          <w:p w14:paraId="0B06565A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las zonas restringidas colindantes a las vías ferroviarias.</w:t>
            </w:r>
          </w:p>
        </w:tc>
        <w:tc>
          <w:tcPr>
            <w:tcW w:w="4394" w:type="dxa"/>
            <w:vAlign w:val="center"/>
          </w:tcPr>
          <w:p w14:paraId="0D2B73DE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 xml:space="preserve">D.S. </w:t>
            </w:r>
            <w:proofErr w:type="spellStart"/>
            <w:r w:rsidRPr="00FF105B">
              <w:rPr>
                <w:rFonts w:eastAsia="Calibri" w:cs="Arial"/>
                <w:sz w:val="24"/>
                <w:szCs w:val="24"/>
              </w:rPr>
              <w:t>Nº</w:t>
            </w:r>
            <w:proofErr w:type="spellEnd"/>
            <w:r w:rsidRPr="00FF105B">
              <w:rPr>
                <w:rFonts w:eastAsia="Calibri" w:cs="Arial"/>
                <w:sz w:val="24"/>
                <w:szCs w:val="24"/>
              </w:rPr>
              <w:t xml:space="preserve"> 032-2005-MTC</w:t>
            </w:r>
          </w:p>
          <w:p w14:paraId="5708D5D4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Reglamento Nacional de Ferrocarriles.</w:t>
            </w:r>
          </w:p>
        </w:tc>
        <w:tc>
          <w:tcPr>
            <w:tcW w:w="2835" w:type="dxa"/>
            <w:vAlign w:val="center"/>
          </w:tcPr>
          <w:p w14:paraId="08FFF91D" w14:textId="77777777" w:rsidR="00960539" w:rsidRPr="00FF105B" w:rsidRDefault="00960539" w:rsidP="00664652">
            <w:pPr>
              <w:jc w:val="both"/>
              <w:rPr>
                <w:rFonts w:eastAsia="Calibri" w:cs="Arial"/>
                <w:b/>
                <w:bCs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</w:p>
          <w:p w14:paraId="5F0491DE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No existe vía ferroviaria</w:t>
            </w:r>
          </w:p>
        </w:tc>
      </w:tr>
      <w:tr w:rsidR="00960539" w:rsidRPr="00FF105B" w14:paraId="22285E2F" w14:textId="77777777" w:rsidTr="00664652">
        <w:trPr>
          <w:trHeight w:val="479"/>
          <w:jc w:val="center"/>
        </w:trPr>
        <w:tc>
          <w:tcPr>
            <w:tcW w:w="498" w:type="dxa"/>
            <w:vAlign w:val="center"/>
          </w:tcPr>
          <w:p w14:paraId="7FBD20A0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lastRenderedPageBreak/>
              <w:t>17</w:t>
            </w:r>
          </w:p>
        </w:tc>
        <w:tc>
          <w:tcPr>
            <w:tcW w:w="2054" w:type="dxa"/>
            <w:vAlign w:val="center"/>
          </w:tcPr>
          <w:p w14:paraId="15999649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casinos y máquinas tragamonedas.</w:t>
            </w:r>
          </w:p>
        </w:tc>
        <w:tc>
          <w:tcPr>
            <w:tcW w:w="4394" w:type="dxa"/>
            <w:vAlign w:val="center"/>
          </w:tcPr>
          <w:p w14:paraId="4027213F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Ley Nº27153: Ley que regula la explotación de los juegos de casino y máquinas tragamonedas y sus modificatorias.</w:t>
            </w:r>
          </w:p>
        </w:tc>
        <w:tc>
          <w:tcPr>
            <w:tcW w:w="2835" w:type="dxa"/>
            <w:vAlign w:val="center"/>
          </w:tcPr>
          <w:p w14:paraId="3833469A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 xml:space="preserve">CUMPLE, </w:t>
            </w:r>
            <w:r w:rsidRPr="00FF105B">
              <w:rPr>
                <w:rFonts w:eastAsia="Calibri" w:cs="Arial"/>
                <w:sz w:val="24"/>
                <w:szCs w:val="24"/>
              </w:rPr>
              <w:t>no se encontró dentro del área definida para la UP.</w:t>
            </w:r>
          </w:p>
        </w:tc>
      </w:tr>
      <w:tr w:rsidR="00960539" w:rsidRPr="00FF105B" w14:paraId="1BF95F64" w14:textId="77777777" w:rsidTr="00664652">
        <w:trPr>
          <w:trHeight w:val="479"/>
          <w:jc w:val="center"/>
        </w:trPr>
        <w:tc>
          <w:tcPr>
            <w:tcW w:w="498" w:type="dxa"/>
            <w:vAlign w:val="center"/>
          </w:tcPr>
          <w:p w14:paraId="01B1FB8F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18</w:t>
            </w:r>
          </w:p>
        </w:tc>
        <w:tc>
          <w:tcPr>
            <w:tcW w:w="2054" w:type="dxa"/>
            <w:vAlign w:val="center"/>
          </w:tcPr>
          <w:p w14:paraId="240C3F32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En relación a los hostales, peñas, discotecas, video-pubs, bingos y salas de billar.</w:t>
            </w:r>
          </w:p>
        </w:tc>
        <w:tc>
          <w:tcPr>
            <w:tcW w:w="4394" w:type="dxa"/>
            <w:vAlign w:val="center"/>
          </w:tcPr>
          <w:p w14:paraId="04E11505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sz w:val="24"/>
                <w:szCs w:val="24"/>
              </w:rPr>
              <w:t>Artículo 79° de la Ley N°27972 – Ley Orgánica de Municipales, en materia de organización del espacio físico y uso del suelo,</w:t>
            </w:r>
          </w:p>
        </w:tc>
        <w:tc>
          <w:tcPr>
            <w:tcW w:w="2835" w:type="dxa"/>
            <w:vAlign w:val="center"/>
          </w:tcPr>
          <w:p w14:paraId="49F01F9B" w14:textId="77777777" w:rsidR="00960539" w:rsidRPr="00FF105B" w:rsidRDefault="00960539" w:rsidP="00664652">
            <w:pPr>
              <w:jc w:val="both"/>
              <w:rPr>
                <w:rFonts w:eastAsia="Calibri" w:cs="Arial"/>
                <w:sz w:val="24"/>
                <w:szCs w:val="24"/>
              </w:rPr>
            </w:pPr>
            <w:r w:rsidRPr="00FF105B">
              <w:rPr>
                <w:rFonts w:eastAsia="Calibri" w:cs="Arial"/>
                <w:b/>
                <w:bCs/>
                <w:sz w:val="24"/>
                <w:szCs w:val="24"/>
              </w:rPr>
              <w:t>CUMPLE</w:t>
            </w:r>
            <w:r w:rsidRPr="00FF105B">
              <w:rPr>
                <w:rFonts w:eastAsia="Calibri" w:cs="Arial"/>
                <w:sz w:val="24"/>
                <w:szCs w:val="24"/>
              </w:rPr>
              <w:t>, no se encontró dentro del área definida para la UP.</w:t>
            </w:r>
          </w:p>
        </w:tc>
      </w:tr>
    </w:tbl>
    <w:p w14:paraId="78699332" w14:textId="77777777" w:rsidR="00166C6E" w:rsidRDefault="00166C6E"/>
    <w:sectPr w:rsidR="00166C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39"/>
    <w:rsid w:val="00166C6E"/>
    <w:rsid w:val="00770975"/>
    <w:rsid w:val="00960539"/>
    <w:rsid w:val="00B7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04EF5C"/>
  <w15:chartTrackingRefBased/>
  <w15:docId w15:val="{F06F4F1F-B3F9-4F8A-8EAE-C8D513A3D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539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6053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053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53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53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53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53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53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53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53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PE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5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5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53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6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53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6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53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60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53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605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53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5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802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Gianella Solansh Manrique Rodríguez</dc:creator>
  <cp:keywords/>
  <dc:description/>
  <cp:lastModifiedBy>Gianella Solansh Manrique Rodríguez</cp:lastModifiedBy>
  <cp:revision>1</cp:revision>
  <dcterms:created xsi:type="dcterms:W3CDTF">2026-10-28T20:06:00Z</dcterms:created>
  <dcterms:modified xsi:type="dcterms:W3CDTF">2026-10-28T20:07:00Z</dcterms:modified>
</cp:coreProperties>
</file>