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proyecto aguas arriba y la cuneta del Eje 01. La cota de fondo de llegada del aporte externo se toma de manera referencial en 260.18 msnm, por confirmar con el expediente del proyecto CUI 2705619;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elastomérico de poliuretano;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DD-01 a DD-04 desarrollan el detalle constructivo de cada una de estas partidas (contramarco, marco y tapa, juntas y empalme de cuneta): despiece, dimensiones, procedimiento y cuadro de componentes por unidad para los análisis de costos unitarios.</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164.88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84.05</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96.99</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93.93</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35.54</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9.39</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579.73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3015.79</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86.06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387.85</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100.64</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aporte externo (CAR Varones) dentro del rango admisible de la caja CL</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la cara inferior de la losa; cualquier cota en ese rango no cambia la seccion ni el armado</w:t>
            </w:r>
          </w:p>
        </w:tc>
        <w:tc>
          <w:tcPr>
            <w:tcW w:type="dxa" w:w="850"/>
          </w:tcPr>
          <w:p>
            <w:pPr>
              <w:jc w:val="center"/>
            </w:pPr>
            <w:r/>
            <w:r>
              <w:rPr>
                <w:rFonts w:ascii="Arial Narrow" w:hAnsi="Arial Narrow" w:cs="Arial Narrow"/>
                <w:b w:val="0"/>
                <w:i w:val="0"/>
                <w:sz w:val="16"/>
              </w:rPr>
              <w:t>260.18</w:t>
            </w:r>
          </w:p>
        </w:tc>
        <w:tc>
          <w:tcPr>
            <w:tcW w:type="dxa" w:w="1757"/>
          </w:tcPr>
          <w:p>
            <w:pPr>
              <w:jc w:val="center"/>
            </w:pPr>
            <w:r/>
            <w:r>
              <w:rPr>
                <w:rFonts w:ascii="Arial Narrow" w:hAnsi="Arial Narrow" w:cs="Arial Narrow"/>
                <w:b w:val="0"/>
                <w:i w:val="0"/>
                <w:sz w:val="16"/>
              </w:rPr>
              <w:t>CUMPLE (rango 259.71 a 260.50 msnm)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proyecto aguas arriba y la cota de fondo de su llegada (260.18 msnm) son datos referenciales de ese proyecto y deben confirmarse con su expediente;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