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MEMORIA DESCRIPTIVA GENERAL</w:t>
      </w:r>
    </w:p>
    <w:p>
      <w:pPr>
        <w:jc w:val="center"/>
      </w:pPr>
      <w:r>
        <w:rPr>
          <w:b/>
          <w:sz w:val="22"/>
        </w:rPr>
        <w:t>Proyecto: CREACIÓN DEL SERVICIO DE PROTECCIÓN INTEGRAL A NIÑAS, NIÑOS Y ADOLESCENTES SIN CUIDADOS PARENTALES O EN RIESGO DE PERDERLOS EN CENTRO DE ACOGIDA RESIDENCIAL - MUJERES, DISTRITO DE MORALES DE LA PROVINCIA DE SAN MARTÍN DEL DEPARTAMENTO DE SAN MARTÍN</w:t>
      </w:r>
    </w:p>
    <w:p>
      <w:pPr>
        <w:jc w:val="center"/>
      </w:pPr>
      <w:r>
        <w:rPr>
          <w:b/>
        </w:rPr>
        <w:t>CUI N.° 2717013</w:t>
      </w:r>
    </w:p>
    <w:p>
      <w:pPr>
        <w:pStyle w:val="Heading1"/>
      </w:pPr>
      <w:r>
        <w:t>1. DATOS GENERALES</w:t>
      </w:r>
    </w:p>
    <w:p>
      <w:pPr>
        <w:pStyle w:val="Heading2"/>
      </w:pPr>
      <w:r>
        <w:t>1.1 Nombre del proyecto</w:t>
      </w:r>
    </w:p>
    <w:p>
      <w:pPr>
        <w:spacing w:after="120"/>
        <w:jc w:val="both"/>
      </w:pPr>
      <w:r>
        <w:rPr>
          <w:b w:val="0"/>
        </w:rPr>
        <w:t>El nombre del proyecto se ha definido conforme a los lineamientos de la Directiva General del Sistema Nacional de Programación Multianual y Gestión de Inversiones, aprobada por Resolución Directoral N.° 001-2019-EF/63.01, y responde a la naturaleza de la intervención (creación), al servicio público que se brinda (protección integral a niñas, niños y adolescentes sin cuidados parentales o en riesgo de perderlos) y a su localización:</w:t>
      </w:r>
    </w:p>
    <w:p>
      <w:pPr>
        <w:spacing w:after="120"/>
        <w:jc w:val="both"/>
      </w:pPr>
      <w:r>
        <w:rPr>
          <w:b/>
        </w:rPr>
        <w:t>“CREACIÓN DEL SERVICIO DE PROTECCIÓN INTEGRAL A NIÑAS, NIÑOS Y ADOLESCENTES SIN CUIDADOS PARENTALES O EN RIESGO DE PERDERLOS EN CENTRO DE ACOGIDA RESIDENCIAL - MUJERES, DISTRITO DE MORALES DE LA PROVINCIA DE SAN MARTÍN DEL DEPARTAMENTO DE SAN MARTÍN”.</w:t>
      </w:r>
    </w:p>
    <w:p>
      <w:pPr>
        <w:spacing w:after="120"/>
        <w:jc w:val="both"/>
      </w:pPr>
      <w:r>
        <w:rPr>
          <w:b w:val="0"/>
        </w:rPr>
        <w:t>Código Único de Inversiones: 2717013.</w:t>
      </w:r>
    </w:p>
    <w:p>
      <w:pPr>
        <w:pStyle w:val="Heading2"/>
      </w:pPr>
      <w:r>
        <w:t>1.2 Naturaleza y objeto de la intervención</w:t>
      </w:r>
    </w:p>
    <w:p>
      <w:pPr>
        <w:spacing w:after="120"/>
        <w:jc w:val="both"/>
      </w:pPr>
      <w:r>
        <w:rPr>
          <w:b w:val="0"/>
        </w:rPr>
        <w:t>Creación. El proyecto crea el servicio de protección integral a niñas, niños y adolescentes sin cuidados parentales o en riesgo de perderlos mediante la construcción, el equipamiento y la implementación de un Centro de Acogida Residencial (CAR) para mujeres en el distrito de Morales, con la infraestructura, el mobiliario, el equipamiento y el desarrollo de capacidades necesarios para su funcionamiento.</w:t>
      </w:r>
    </w:p>
    <w:p>
      <w:pPr>
        <w:pStyle w:val="Heading2"/>
      </w:pPr>
      <w:r>
        <w:t>1.3 Institucionalidad</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D9E2F3"/>
          </w:tcPr>
          <w:p>
            <w:pPr>
              <w:jc w:val="center"/>
            </w:pPr>
            <w:r/>
            <w:r>
              <w:rPr>
                <w:b/>
                <w:sz w:val="18"/>
              </w:rPr>
              <w:t>Dato</w:t>
            </w:r>
          </w:p>
        </w:tc>
        <w:tc>
          <w:tcPr>
            <w:tcW w:type="dxa" w:w="6236"/>
            <w:shd w:val="clear" w:color="auto" w:fill="D9E2F3"/>
          </w:tcPr>
          <w:p>
            <w:pPr>
              <w:jc w:val="center"/>
            </w:pPr>
            <w:r/>
            <w:r>
              <w:rPr>
                <w:b/>
                <w:sz w:val="18"/>
              </w:rPr>
              <w:t>Descripción</w:t>
            </w:r>
          </w:p>
        </w:tc>
      </w:tr>
      <w:tr>
        <w:tc>
          <w:tcPr>
            <w:tcW w:type="dxa" w:w="2835"/>
          </w:tcPr>
          <w:p>
            <w:r/>
            <w:r>
              <w:rPr>
                <w:sz w:val="18"/>
              </w:rPr>
              <w:t>Nivel de gobierno</w:t>
            </w:r>
          </w:p>
        </w:tc>
        <w:tc>
          <w:tcPr>
            <w:tcW w:type="dxa" w:w="6236"/>
          </w:tcPr>
          <w:p>
            <w:r/>
            <w:r>
              <w:rPr>
                <w:sz w:val="18"/>
              </w:rPr>
              <w:t>Gobiernos Regionales</w:t>
            </w:r>
          </w:p>
        </w:tc>
      </w:tr>
      <w:tr>
        <w:tc>
          <w:tcPr>
            <w:tcW w:type="dxa" w:w="2835"/>
          </w:tcPr>
          <w:p>
            <w:r/>
            <w:r>
              <w:rPr>
                <w:sz w:val="18"/>
              </w:rPr>
              <w:t>Entidad</w:t>
            </w:r>
          </w:p>
        </w:tc>
        <w:tc>
          <w:tcPr>
            <w:tcW w:type="dxa" w:w="6236"/>
          </w:tcPr>
          <w:p>
            <w:r/>
            <w:r>
              <w:rPr>
                <w:sz w:val="18"/>
              </w:rPr>
              <w:t>Gobierno Regional de San Martín</w:t>
            </w:r>
          </w:p>
        </w:tc>
      </w:tr>
      <w:tr>
        <w:tc>
          <w:tcPr>
            <w:tcW w:type="dxa" w:w="2835"/>
          </w:tcPr>
          <w:p>
            <w:r/>
            <w:r>
              <w:rPr>
                <w:sz w:val="18"/>
              </w:rPr>
              <w:t>Unidad Formuladora</w:t>
            </w:r>
          </w:p>
        </w:tc>
        <w:tc>
          <w:tcPr>
            <w:tcW w:type="dxa" w:w="6236"/>
          </w:tcPr>
          <w:p>
            <w:r/>
            <w:r>
              <w:rPr>
                <w:sz w:val="18"/>
              </w:rPr>
              <w:t>UF de la Gerencia Regional de Desarrollo Social (GRDS), designada por Resolución Ejecutiva Regional N.° 156-2019-GRSM/GR y su modificatoria, Resolución Ejecutiva Regional N.° 274-2019-GRSM/GR</w:t>
            </w:r>
          </w:p>
        </w:tc>
      </w:tr>
      <w:tr>
        <w:tc>
          <w:tcPr>
            <w:tcW w:type="dxa" w:w="2835"/>
          </w:tcPr>
          <w:p>
            <w:r/>
            <w:r>
              <w:rPr>
                <w:sz w:val="18"/>
              </w:rPr>
              <w:t>Unidad Ejecutora de Inversiones</w:t>
            </w:r>
          </w:p>
        </w:tc>
        <w:tc>
          <w:tcPr>
            <w:tcW w:type="dxa" w:w="6236"/>
          </w:tcPr>
          <w:p>
            <w:r/>
            <w:r>
              <w:rPr>
                <w:sz w:val="18"/>
              </w:rPr>
              <w:t>UEI Proyecto Especial Huallaga Central y Bajo Mayo (PEHCBM)</w:t>
            </w:r>
          </w:p>
        </w:tc>
      </w:tr>
      <w:tr>
        <w:tc>
          <w:tcPr>
            <w:tcW w:type="dxa" w:w="2835"/>
          </w:tcPr>
          <w:p>
            <w:r/>
            <w:r>
              <w:rPr>
                <w:sz w:val="18"/>
              </w:rPr>
              <w:t>Sector</w:t>
            </w:r>
          </w:p>
        </w:tc>
        <w:tc>
          <w:tcPr>
            <w:tcW w:type="dxa" w:w="6236"/>
          </w:tcPr>
          <w:p>
            <w:r/>
            <w:r>
              <w:rPr>
                <w:sz w:val="18"/>
              </w:rPr>
              <w:t>Protección social</w:t>
            </w:r>
          </w:p>
        </w:tc>
      </w:tr>
    </w:tbl>
    <w:p>
      <w:pPr>
        <w:spacing w:after="80"/>
      </w:pPr>
      <w:r>
        <w:rPr>
          <w:i/>
          <w:sz w:val="16"/>
        </w:rPr>
        <w:t>Fuente: Resumen Ejecutivo del estudio de preinversión, UF-GRDS (diciembre de 2025).</w:t>
      </w:r>
    </w:p>
    <w:p>
      <w:pPr>
        <w:pStyle w:val="Heading2"/>
      </w:pPr>
      <w:r>
        <w:t>1.4 Responsabilidad funcional y tipología</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D9E2F3"/>
          </w:tcPr>
          <w:p>
            <w:pPr>
              <w:jc w:val="center"/>
            </w:pPr>
            <w:r/>
            <w:r>
              <w:rPr>
                <w:b/>
                <w:sz w:val="18"/>
              </w:rPr>
              <w:t>Clasificador</w:t>
            </w:r>
          </w:p>
        </w:tc>
        <w:tc>
          <w:tcPr>
            <w:tcW w:type="dxa" w:w="6236"/>
            <w:shd w:val="clear" w:color="auto" w:fill="D9E2F3"/>
          </w:tcPr>
          <w:p>
            <w:pPr>
              <w:jc w:val="center"/>
            </w:pPr>
            <w:r/>
            <w:r>
              <w:rPr>
                <w:b/>
                <w:sz w:val="18"/>
              </w:rPr>
              <w:t>Descripción</w:t>
            </w:r>
          </w:p>
        </w:tc>
      </w:tr>
      <w:tr>
        <w:tc>
          <w:tcPr>
            <w:tcW w:type="dxa" w:w="2835"/>
          </w:tcPr>
          <w:p>
            <w:r/>
            <w:r>
              <w:rPr>
                <w:sz w:val="18"/>
              </w:rPr>
              <w:t>Función</w:t>
            </w:r>
          </w:p>
        </w:tc>
        <w:tc>
          <w:tcPr>
            <w:tcW w:type="dxa" w:w="6236"/>
          </w:tcPr>
          <w:p>
            <w:r/>
            <w:r>
              <w:rPr>
                <w:sz w:val="18"/>
              </w:rPr>
              <w:t>023 Protección social</w:t>
            </w:r>
          </w:p>
        </w:tc>
      </w:tr>
      <w:tr>
        <w:tc>
          <w:tcPr>
            <w:tcW w:type="dxa" w:w="2835"/>
          </w:tcPr>
          <w:p>
            <w:r/>
            <w:r>
              <w:rPr>
                <w:sz w:val="18"/>
              </w:rPr>
              <w:t>División funcional</w:t>
            </w:r>
          </w:p>
        </w:tc>
        <w:tc>
          <w:tcPr>
            <w:tcW w:type="dxa" w:w="6236"/>
          </w:tcPr>
          <w:p>
            <w:r/>
            <w:r>
              <w:rPr>
                <w:sz w:val="18"/>
              </w:rPr>
              <w:t>051 Asistencia social</w:t>
            </w:r>
          </w:p>
        </w:tc>
      </w:tr>
      <w:tr>
        <w:tc>
          <w:tcPr>
            <w:tcW w:type="dxa" w:w="2835"/>
          </w:tcPr>
          <w:p>
            <w:r/>
            <w:r>
              <w:rPr>
                <w:sz w:val="18"/>
              </w:rPr>
              <w:t>Grupo funcional</w:t>
            </w:r>
          </w:p>
        </w:tc>
        <w:tc>
          <w:tcPr>
            <w:tcW w:type="dxa" w:w="6236"/>
          </w:tcPr>
          <w:p>
            <w:r/>
            <w:r>
              <w:rPr>
                <w:sz w:val="18"/>
              </w:rPr>
              <w:t>0115 Protección de poblaciones en riesgo</w:t>
            </w:r>
          </w:p>
        </w:tc>
      </w:tr>
      <w:tr>
        <w:tc>
          <w:tcPr>
            <w:tcW w:type="dxa" w:w="2835"/>
          </w:tcPr>
          <w:p>
            <w:r/>
            <w:r>
              <w:rPr>
                <w:sz w:val="18"/>
              </w:rPr>
              <w:t>Servicio</w:t>
            </w:r>
          </w:p>
        </w:tc>
        <w:tc>
          <w:tcPr>
            <w:tcW w:type="dxa" w:w="6236"/>
          </w:tcPr>
          <w:p>
            <w:r/>
            <w:r>
              <w:rPr>
                <w:sz w:val="18"/>
              </w:rPr>
              <w:t>Servicio de protección integral a niñas, niños y adolescentes sin cuidados parentales o en riesgo de perderlos</w:t>
            </w:r>
          </w:p>
        </w:tc>
      </w:tr>
      <w:tr>
        <w:tc>
          <w:tcPr>
            <w:tcW w:type="dxa" w:w="2835"/>
          </w:tcPr>
          <w:p>
            <w:r/>
            <w:r>
              <w:rPr>
                <w:sz w:val="18"/>
              </w:rPr>
              <w:t>Tipología de proyecto</w:t>
            </w:r>
          </w:p>
        </w:tc>
        <w:tc>
          <w:tcPr>
            <w:tcW w:type="dxa" w:w="6236"/>
          </w:tcPr>
          <w:p>
            <w:r/>
            <w:r>
              <w:rPr>
                <w:sz w:val="18"/>
              </w:rPr>
              <w:t>Centro de Acogida Residencial (CAR)</w:t>
            </w:r>
          </w:p>
        </w:tc>
      </w:tr>
    </w:tbl>
    <w:p>
      <w:pPr>
        <w:spacing w:after="80"/>
      </w:pPr>
      <w:r>
        <w:rPr>
          <w:i/>
          <w:sz w:val="16"/>
        </w:rPr>
        <w:t>Fuente: Anexo N.° 02 de la Directiva General del Invierte.pe; Resumen Ejecutivo del estudio de preinversión.</w:t>
      </w:r>
    </w:p>
    <w:p>
      <w:pPr>
        <w:pStyle w:val="Heading2"/>
      </w:pPr>
      <w:r>
        <w:t>1.5 Articulación con el Programa Multianual de Inversiones</w:t>
      </w:r>
    </w:p>
    <w:p>
      <w:pPr>
        <w:spacing w:after="120"/>
        <w:jc w:val="both"/>
      </w:pPr>
      <w:r>
        <w:rPr>
          <w:b w:val="0"/>
        </w:rPr>
        <w:t>El proyecto se articula con el indicador de brecha del sector Mujer y Poblaciones Vulnerables “Porcentaje de centros de acogida residencial con capacidad instalada inadecuada”, de ámbito departamental, y contribuye al cierre de la brecha con un (01) centro de acogida residencial.</w:t>
      </w:r>
    </w:p>
    <w:p>
      <w:pPr>
        <w:pStyle w:val="Heading2"/>
      </w:pPr>
      <w:r>
        <w:t>1.6 Ubicación</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D9E2F3"/>
          </w:tcPr>
          <w:p>
            <w:pPr>
              <w:jc w:val="center"/>
            </w:pPr>
            <w:r/>
            <w:r>
              <w:rPr>
                <w:b/>
                <w:sz w:val="18"/>
              </w:rPr>
              <w:t>Dato</w:t>
            </w:r>
          </w:p>
        </w:tc>
        <w:tc>
          <w:tcPr>
            <w:tcW w:type="dxa" w:w="6236"/>
            <w:shd w:val="clear" w:color="auto" w:fill="D9E2F3"/>
          </w:tcPr>
          <w:p>
            <w:pPr>
              <w:jc w:val="center"/>
            </w:pPr>
            <w:r/>
            <w:r>
              <w:rPr>
                <w:b/>
                <w:sz w:val="18"/>
              </w:rPr>
              <w:t>Descripción</w:t>
            </w:r>
          </w:p>
        </w:tc>
      </w:tr>
      <w:tr>
        <w:tc>
          <w:tcPr>
            <w:tcW w:type="dxa" w:w="2835"/>
          </w:tcPr>
          <w:p>
            <w:r/>
            <w:r>
              <w:rPr>
                <w:sz w:val="18"/>
              </w:rPr>
              <w:t>Departamento</w:t>
            </w:r>
          </w:p>
        </w:tc>
        <w:tc>
          <w:tcPr>
            <w:tcW w:type="dxa" w:w="6236"/>
          </w:tcPr>
          <w:p>
            <w:r/>
            <w:r>
              <w:rPr>
                <w:sz w:val="18"/>
              </w:rPr>
              <w:t>San Martín</w:t>
            </w:r>
          </w:p>
        </w:tc>
      </w:tr>
      <w:tr>
        <w:tc>
          <w:tcPr>
            <w:tcW w:type="dxa" w:w="2835"/>
          </w:tcPr>
          <w:p>
            <w:r/>
            <w:r>
              <w:rPr>
                <w:sz w:val="18"/>
              </w:rPr>
              <w:t>Provincia</w:t>
            </w:r>
          </w:p>
        </w:tc>
        <w:tc>
          <w:tcPr>
            <w:tcW w:type="dxa" w:w="6236"/>
          </w:tcPr>
          <w:p>
            <w:r/>
            <w:r>
              <w:rPr>
                <w:sz w:val="18"/>
              </w:rPr>
              <w:t>San Martín</w:t>
            </w:r>
          </w:p>
        </w:tc>
      </w:tr>
      <w:tr>
        <w:tc>
          <w:tcPr>
            <w:tcW w:type="dxa" w:w="2835"/>
          </w:tcPr>
          <w:p>
            <w:r/>
            <w:r>
              <w:rPr>
                <w:sz w:val="18"/>
              </w:rPr>
              <w:t>Distrito</w:t>
            </w:r>
          </w:p>
        </w:tc>
        <w:tc>
          <w:tcPr>
            <w:tcW w:type="dxa" w:w="6236"/>
          </w:tcPr>
          <w:p>
            <w:r/>
            <w:r>
              <w:rPr>
                <w:sz w:val="18"/>
              </w:rPr>
              <w:t>Morales</w:t>
            </w:r>
          </w:p>
        </w:tc>
      </w:tr>
      <w:tr>
        <w:tc>
          <w:tcPr>
            <w:tcW w:type="dxa" w:w="2835"/>
          </w:tcPr>
          <w:p>
            <w:r/>
            <w:r>
              <w:rPr>
                <w:sz w:val="18"/>
              </w:rPr>
              <w:t>Región natural</w:t>
            </w:r>
          </w:p>
        </w:tc>
        <w:tc>
          <w:tcPr>
            <w:tcW w:type="dxa" w:w="6236"/>
          </w:tcPr>
          <w:p>
            <w:r/>
            <w:r>
              <w:rPr>
                <w:sz w:val="18"/>
              </w:rPr>
              <w:t>Selva</w:t>
            </w:r>
          </w:p>
        </w:tc>
      </w:tr>
      <w:tr>
        <w:tc>
          <w:tcPr>
            <w:tcW w:type="dxa" w:w="2835"/>
          </w:tcPr>
          <w:p>
            <w:r/>
            <w:r>
              <w:rPr>
                <w:sz w:val="18"/>
              </w:rPr>
              <w:t>Predio</w:t>
            </w:r>
          </w:p>
        </w:tc>
        <w:tc>
          <w:tcPr>
            <w:tcW w:type="dxa" w:w="6236"/>
          </w:tcPr>
          <w:p>
            <w:r/>
            <w:r>
              <w:rPr>
                <w:sz w:val="18"/>
              </w:rPr>
              <w:t>Terreno de 6,999.98 m² y 336.89 m de perímetro, parte del predio matriz “Predio Rural Los Mangos”, inscrito en la Partida Registral N.° 05003469, de propiedad del Gobierno Regional de San Martín</w:t>
            </w:r>
          </w:p>
        </w:tc>
      </w:tr>
      <w:tr>
        <w:tc>
          <w:tcPr>
            <w:tcW w:type="dxa" w:w="2835"/>
          </w:tcPr>
          <w:p>
            <w:r/>
            <w:r>
              <w:rPr>
                <w:sz w:val="18"/>
              </w:rPr>
              <w:t>Frente</w:t>
            </w:r>
          </w:p>
        </w:tc>
        <w:tc>
          <w:tcPr>
            <w:tcW w:type="dxa" w:w="6236"/>
          </w:tcPr>
          <w:p>
            <w:r/>
            <w:r>
              <w:rPr>
                <w:sz w:val="18"/>
              </w:rPr>
              <w:t>Carretera Oasis</w:t>
            </w:r>
          </w:p>
        </w:tc>
      </w:tr>
      <w:tr>
        <w:tc>
          <w:tcPr>
            <w:tcW w:type="dxa" w:w="2835"/>
          </w:tcPr>
          <w:p>
            <w:r/>
            <w:r>
              <w:rPr>
                <w:sz w:val="18"/>
              </w:rPr>
              <w:t>Coordenadas UTM de referencia (WGS 84, zona 18 Sur)</w:t>
            </w:r>
          </w:p>
        </w:tc>
        <w:tc>
          <w:tcPr>
            <w:tcW w:type="dxa" w:w="6236"/>
          </w:tcPr>
          <w:p>
            <w:r/>
            <w:r>
              <w:rPr>
                <w:sz w:val="18"/>
              </w:rPr>
              <w:t>Este 345,692.03 m; Norte 9,282,886.80 m</w:t>
            </w:r>
          </w:p>
        </w:tc>
      </w:tr>
      <w:tr>
        <w:tc>
          <w:tcPr>
            <w:tcW w:type="dxa" w:w="2835"/>
          </w:tcPr>
          <w:p>
            <w:r/>
            <w:r>
              <w:rPr>
                <w:sz w:val="18"/>
              </w:rPr>
              <w:t>Colindantes</w:t>
            </w:r>
          </w:p>
        </w:tc>
        <w:tc>
          <w:tcPr>
            <w:tcW w:type="dxa" w:w="6236"/>
          </w:tcPr>
          <w:p>
            <w:r/>
            <w:r>
              <w:rPr>
                <w:sz w:val="18"/>
              </w:rPr>
              <w:t>Terreno del Hogar de Refugio Temporal para mujeres violentadas (CUI N.° 2675514) y terreno del Centro de Acogida Residencial - Varones (CUI N.° 2705619), ambos dentro del mismo predio matriz</w:t>
            </w:r>
          </w:p>
        </w:tc>
      </w:tr>
    </w:tbl>
    <w:p>
      <w:pPr>
        <w:spacing w:after="80"/>
      </w:pPr>
      <w:r>
        <w:rPr>
          <w:i/>
          <w:sz w:val="16"/>
        </w:rPr>
        <w:t>Fuente: Memoria hidrológica y planos del expediente técnico; Resumen Ejecutivo del estudio de preinversión.</w:t>
      </w:r>
    </w:p>
    <w:p>
      <w:pPr>
        <w:pStyle w:val="Heading1"/>
      </w:pPr>
      <w:r>
        <w:t>2. ANTECEDENTES</w:t>
      </w:r>
    </w:p>
    <w:p>
      <w:pPr>
        <w:spacing w:after="120"/>
        <w:jc w:val="both"/>
      </w:pPr>
      <w:r>
        <w:rPr>
          <w:b w:val="0"/>
        </w:rPr>
        <w:t>El Ministerio de la Mujer y Poblaciones Vulnerables (MIMP) es la instancia nacional competente para registrar, regular, supervisar y evaluar a los organismos públicos, privados y comunales que trabajan con niñas, niños y adolescentes. Los Centros de Acogida Residencial deben cumplir las condiciones establecidas en el Decreto Legislativo N.° 1297, Decreto Legislativo para la protección de las niñas, niños y adolescentes sin cuidados parentales o en riesgo de perderlos, y su Reglamento, aprobado por Decreto Supremo N.° 001-2018-MIMP, cuyo artículo 100 define el CAR como el espacio físico donde se desarrolla la medida de acogimiento residencial dispuesta en el procedimiento por desprotección familiar, en un entorno que se asemeje al familiar.</w:t>
      </w:r>
    </w:p>
    <w:p>
      <w:pPr>
        <w:spacing w:after="120"/>
        <w:jc w:val="both"/>
      </w:pPr>
      <w:r>
        <w:rPr>
          <w:b w:val="0"/>
        </w:rPr>
        <w:t>En el distrito de Morales no existe institución pública ni privada que cuente con espacios para acoger a niñas, niños y adolescentes sin cuidados parentales o en riesgo de perderlos. Los operadores existentes (Centro Emergencia Mujer, DEMUNA de la Municipalidad Distrital, Policía Nacional del Perú, Ministerio Público y establecimientos de salud) brindan únicamente atención y prevención, por lo que la oferta de acogida residencial en infraestructura, equipamiento y recursos humanos es nula.</w:t>
      </w:r>
    </w:p>
    <w:p>
      <w:pPr>
        <w:spacing w:after="120"/>
        <w:jc w:val="both"/>
      </w:pPr>
      <w:r>
        <w:rPr>
          <w:b w:val="0"/>
        </w:rPr>
        <w:t>Ante esta situación, la Gerencia Regional de Desarrollo Social del Gobierno Regional de San Martín formuló el estudio de preinversión a nivel de perfil del proyecto, que identificó como problema central el “Inadecuado desarrollo de capacidades de gestión para la prestación del servicio de residencia para niñas, niños y adolescentes sin cuidados parentales o en riesgo de perderlos en Centro de Acogida Residencial - Mujeres, distrito de Morales”, y planteó como alternativa única la construcción de la infraestructura del CAR, la adquisición de mobiliario y equipamiento y la implementación de asistencia técnica. El presente expediente técnico desarrolla a nivel de ingeniería de detalle el componente de infraestructura e instalaciones de dicha alternativa.</w:t>
      </w:r>
    </w:p>
    <w:p>
      <w:pPr>
        <w:spacing w:after="120"/>
        <w:jc w:val="both"/>
      </w:pPr>
      <w:r>
        <w:rPr>
          <w:b w:val="0"/>
        </w:rPr>
        <w:t>El terreno asignado forma parte del predio matriz Los Mangos, en el que el Gobierno Regional de San Martín desarrolla de manera coordinada tres intervenciones colindantes: el presente CAR Mujeres, el Hogar de Refugio Temporal para mujeres violentadas y el CAR Varones. Las tres comparten el frente a la Carretera Oasis y el sistema de evacuación pluvial frontal, cuyo colector forma parte de este expediente.</w:t>
      </w:r>
    </w:p>
    <w:p>
      <w:pPr>
        <w:pStyle w:val="Heading1"/>
      </w:pPr>
      <w:r>
        <w:t>3. OBJETIVOS</w:t>
      </w:r>
    </w:p>
    <w:p>
      <w:pPr>
        <w:pStyle w:val="Heading2"/>
      </w:pPr>
      <w:r>
        <w:t>3.1 Objetivo central</w:t>
      </w:r>
    </w:p>
    <w:p>
      <w:pPr>
        <w:spacing w:after="120"/>
        <w:jc w:val="both"/>
      </w:pPr>
      <w:r>
        <w:rPr>
          <w:b w:val="0"/>
        </w:rPr>
        <w:t>Adecuado desarrollo de capacidades de gestión para la prestación del servicio de residencia para niñas, niños y adolescentes sin cuidados parentales o en riesgo de perderlos en el Centro de Acogida Residencial - Mujeres del distrito de Morales, provincia y departamento de San Martín.</w:t>
      </w:r>
    </w:p>
    <w:p>
      <w:pPr>
        <w:pStyle w:val="Heading2"/>
      </w:pPr>
      <w:r>
        <w:t>3.2 Medios fundamentales</w:t>
      </w:r>
    </w:p>
    <w:p>
      <w:pPr>
        <w:pStyle w:val="ListBullet"/>
        <w:spacing w:after="60"/>
        <w:jc w:val="both"/>
      </w:pPr>
      <w:r>
        <w:t>Adecuadas condiciones de infraestructura física para la prestación del servicio de protección integral a niñas, niños y adolescentes.</w:t>
      </w:r>
    </w:p>
    <w:p>
      <w:pPr>
        <w:pStyle w:val="ListBullet"/>
        <w:spacing w:after="60"/>
        <w:jc w:val="both"/>
      </w:pPr>
      <w:r>
        <w:t>Adecuado y suficiente equipamiento y mobiliario para la prestación del servicio de acogida residencial.</w:t>
      </w:r>
    </w:p>
    <w:p>
      <w:pPr>
        <w:pStyle w:val="ListBullet"/>
        <w:spacing w:after="60"/>
        <w:jc w:val="both"/>
      </w:pPr>
      <w:r>
        <w:t>Adecuado desarrollo de capacidades de gestión para la prestación del servicio de residencia.</w:t>
      </w:r>
    </w:p>
    <w:p>
      <w:pPr>
        <w:pStyle w:val="Heading2"/>
      </w:pPr>
      <w:r>
        <w:t>3.3 Fines</w:t>
      </w:r>
    </w:p>
    <w:p>
      <w:pPr>
        <w:spacing w:after="120"/>
        <w:jc w:val="both"/>
      </w:pPr>
      <w:r>
        <w:rPr>
          <w:b w:val="0"/>
        </w:rPr>
        <w:t>Fines directos: adecuada cantidad de población que accede al servicio, elevado nivel de autoestima y disminución de los índices de abandono y vulnerabilidad de las niñas, niños y adolescentes. Fines indirectos: facilidad de acceso al servicio y mayor calidad de información para la prevención. Fin último: adecuada contribución al desarrollo y mejora de las condiciones de vida de las niñas, niños y adolescentes del distrito de Morales.</w:t>
      </w:r>
    </w:p>
    <w:p>
      <w:pPr>
        <w:pStyle w:val="Heading2"/>
      </w:pPr>
      <w:r>
        <w:t>3.4 Objetivo del expediente técnico</w:t>
      </w:r>
    </w:p>
    <w:p>
      <w:pPr>
        <w:spacing w:after="120"/>
        <w:jc w:val="both"/>
      </w:pPr>
      <w:r>
        <w:rPr>
          <w:b w:val="0"/>
        </w:rPr>
        <w:t>Definir, con el nivel de detalle requerido para su ejecución, las obras de infraestructura, obras exteriores e instalaciones del CAR Mujeres: planos por especialidad, memorias descriptivas y de cálculo, especificaciones técnicas, metrados, presupuesto, análisis de costos unitarios, fórmulas polinómicas, cronogramas y estudios básicos, conforme al Reglamento Nacional de Edificaciones y a la normativa del Sistema Nacional de Programación Multianual y Gestión de Inversiones.</w:t>
      </w:r>
    </w:p>
    <w:p>
      <w:pPr>
        <w:pStyle w:val="Heading1"/>
      </w:pPr>
      <w:r>
        <w:t>4. UBICACIÓN Y ACCESO</w:t>
      </w:r>
    </w:p>
    <w:p>
      <w:pPr>
        <w:pStyle w:val="Heading2"/>
      </w:pPr>
      <w:r>
        <w:t>4.1 Área de estudio</w:t>
      </w:r>
    </w:p>
    <w:p>
      <w:pPr>
        <w:spacing w:after="120"/>
        <w:jc w:val="both"/>
      </w:pPr>
      <w:r>
        <w:rPr>
          <w:b w:val="0"/>
        </w:rPr>
        <w:t>El terreno se ubica en el distrito de Morales, dentro del casco urbano, en el sector denominado El Tumi, en un área administrada por el Gobierno Regional de San Martín que perteneció a la Aldea Infantil Virgen del Pilar. Presenta relieve plano, con pendiente longitudinal aproximada de 1 % y pendiente transversal de 0.20 %. Al momento del levantamiento, el 20 % del área en estudio se encontraba con plantación de plátano (0.70 ha). Por el margen derecho del terreno discurren aguas de escorrentía pluvial, condición que fue considerada en el diseño de la distribución arquitectónica y del sistema de drenaje.</w:t>
      </w:r>
    </w:p>
    <w:p>
      <w:pPr>
        <w:pStyle w:val="Heading2"/>
      </w:pPr>
      <w:r>
        <w:t>4.2 Acceso</w:t>
      </w:r>
    </w:p>
    <w:p>
      <w:pPr>
        <w:spacing w:after="120"/>
        <w:jc w:val="both"/>
      </w:pPr>
      <w:r>
        <w:rPr>
          <w:b w:val="0"/>
        </w:rPr>
        <w:t>Desde el área urbana de Morales se accede por la carretera Fernando Belaúnde Terry hasta la altura del sector El Tumi; desde allí, por la margen derecha, se continúa aproximadamente 340 m por una trocha carrozable que conecta con la vía de Evitamiento, hasta el frente del terreno sobre la Carretera Oasis.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01"/>
            <w:shd w:val="clear" w:color="auto" w:fill="D9E2F3"/>
          </w:tcPr>
          <w:p>
            <w:pPr>
              <w:jc w:val="center"/>
            </w:pPr>
            <w:r/>
            <w:r>
              <w:rPr>
                <w:b/>
                <w:sz w:val="18"/>
              </w:rPr>
              <w:t>De</w:t>
            </w:r>
          </w:p>
        </w:tc>
        <w:tc>
          <w:tcPr>
            <w:tcW w:type="dxa" w:w="1701"/>
            <w:shd w:val="clear" w:color="auto" w:fill="D9E2F3"/>
          </w:tcPr>
          <w:p>
            <w:pPr>
              <w:jc w:val="center"/>
            </w:pPr>
            <w:r/>
            <w:r>
              <w:rPr>
                <w:b/>
                <w:sz w:val="18"/>
              </w:rPr>
              <w:t>A</w:t>
            </w:r>
          </w:p>
        </w:tc>
        <w:tc>
          <w:tcPr>
            <w:tcW w:type="dxa" w:w="1134"/>
            <w:shd w:val="clear" w:color="auto" w:fill="D9E2F3"/>
          </w:tcPr>
          <w:p>
            <w:pPr>
              <w:jc w:val="center"/>
            </w:pPr>
            <w:r/>
            <w:r>
              <w:rPr>
                <w:b/>
                <w:sz w:val="18"/>
              </w:rPr>
              <w:t>Distancia</w:t>
            </w:r>
          </w:p>
        </w:tc>
        <w:tc>
          <w:tcPr>
            <w:tcW w:type="dxa" w:w="2551"/>
            <w:shd w:val="clear" w:color="auto" w:fill="D9E2F3"/>
          </w:tcPr>
          <w:p>
            <w:pPr>
              <w:jc w:val="center"/>
            </w:pPr>
            <w:r/>
            <w:r>
              <w:rPr>
                <w:b/>
                <w:sz w:val="18"/>
              </w:rPr>
              <w:t>Tipo de vía</w:t>
            </w:r>
          </w:p>
        </w:tc>
        <w:tc>
          <w:tcPr>
            <w:tcW w:type="dxa" w:w="1134"/>
            <w:shd w:val="clear" w:color="auto" w:fill="D9E2F3"/>
          </w:tcPr>
          <w:p>
            <w:pPr>
              <w:jc w:val="center"/>
            </w:pPr>
            <w:r/>
            <w:r>
              <w:rPr>
                <w:b/>
                <w:sz w:val="18"/>
              </w:rPr>
              <w:t>Medio</w:t>
            </w:r>
          </w:p>
        </w:tc>
        <w:tc>
          <w:tcPr>
            <w:tcW w:type="dxa" w:w="1417"/>
            <w:shd w:val="clear" w:color="auto" w:fill="D9E2F3"/>
          </w:tcPr>
          <w:p>
            <w:pPr>
              <w:jc w:val="center"/>
            </w:pPr>
            <w:r/>
            <w:r>
              <w:rPr>
                <w:b/>
                <w:sz w:val="18"/>
              </w:rPr>
              <w:t>Tiempo aproximado</w:t>
            </w:r>
          </w:p>
        </w:tc>
      </w:tr>
      <w:tr>
        <w:tc>
          <w:tcPr>
            <w:tcW w:type="dxa" w:w="1701"/>
          </w:tcPr>
          <w:p>
            <w:r/>
            <w:r>
              <w:rPr>
                <w:sz w:val="18"/>
              </w:rPr>
              <w:t>Plaza de Morales</w:t>
            </w:r>
          </w:p>
        </w:tc>
        <w:tc>
          <w:tcPr>
            <w:tcW w:type="dxa" w:w="1701"/>
          </w:tcPr>
          <w:p>
            <w:r/>
            <w:r>
              <w:rPr>
                <w:sz w:val="18"/>
              </w:rPr>
              <w:t>Terreno del CAR</w:t>
            </w:r>
          </w:p>
        </w:tc>
        <w:tc>
          <w:tcPr>
            <w:tcW w:type="dxa" w:w="1134"/>
          </w:tcPr>
          <w:p>
            <w:r/>
            <w:r>
              <w:rPr>
                <w:sz w:val="18"/>
              </w:rPr>
              <w:t>2.1 km</w:t>
            </w:r>
          </w:p>
        </w:tc>
        <w:tc>
          <w:tcPr>
            <w:tcW w:type="dxa" w:w="2551"/>
          </w:tcPr>
          <w:p>
            <w:r/>
            <w:r>
              <w:rPr>
                <w:sz w:val="18"/>
              </w:rPr>
              <w:t>Carretera asfaltada y trocha carrozable</w:t>
            </w:r>
          </w:p>
        </w:tc>
        <w:tc>
          <w:tcPr>
            <w:tcW w:type="dxa" w:w="1134"/>
          </w:tcPr>
          <w:p>
            <w:r/>
            <w:r>
              <w:rPr>
                <w:sz w:val="18"/>
              </w:rPr>
              <w:t>Terrestre</w:t>
            </w:r>
          </w:p>
        </w:tc>
        <w:tc>
          <w:tcPr>
            <w:tcW w:type="dxa" w:w="1417"/>
          </w:tcPr>
          <w:p>
            <w:r/>
            <w:r>
              <w:rPr>
                <w:sz w:val="18"/>
              </w:rPr>
              <w:t>7 min</w:t>
            </w:r>
          </w:p>
        </w:tc>
      </w:tr>
    </w:tbl>
    <w:p>
      <w:pPr>
        <w:spacing w:after="80"/>
      </w:pPr>
      <w:r>
        <w:rPr>
          <w:i/>
          <w:sz w:val="16"/>
        </w:rPr>
        <w:t>Fuente: Resumen Ejecutivo del estudio de preinversión.</w:t>
      </w:r>
    </w:p>
    <w:p>
      <w:pPr>
        <w:pStyle w:val="Heading2"/>
      </w:pPr>
      <w:r>
        <w:t>4.3 Área de influencia</w:t>
      </w:r>
    </w:p>
    <w:p>
      <w:pPr>
        <w:spacing w:after="120"/>
        <w:jc w:val="both"/>
      </w:pPr>
      <w:r>
        <w:rPr>
          <w:b w:val="0"/>
        </w:rPr>
        <w:t>El área de influencia comprende el distrito de Morales y las localidades cercanas de donde provienen las niñas, niños y adolescentes sin cuidados parentales o en riesgo de perderlos que no cuentan con redes de apoyo propias o suficientemente seguras. Los beneficiarios directos son la población del distrito de Morales y los indirectos las localidades del área de influencia que acceden al servicio.</w:t>
      </w:r>
    </w:p>
    <w:p>
      <w:pPr>
        <w:pStyle w:val="Heading1"/>
      </w:pPr>
      <w:r>
        <w:t>5. CARACTERÍSTICAS DEL ÁREA DEL PROYECTO</w:t>
      </w:r>
    </w:p>
    <w:p>
      <w:pPr>
        <w:pStyle w:val="Heading2"/>
      </w:pPr>
      <w:r>
        <w:t>5.1 Clima y temperatura</w:t>
      </w:r>
    </w:p>
    <w:p>
      <w:pPr>
        <w:spacing w:after="120"/>
        <w:jc w:val="both"/>
      </w:pPr>
      <w:r>
        <w:rPr>
          <w:b w:val="0"/>
        </w:rPr>
        <w:t>El distrito de Morales tiene clima semicálido, con temperatura media anual de 26 °C, máxima de 38 °C y mínima de 13.5 °C, y humedad relativa media de 78.5 % (máxima 80 %, mínima 77 %). Las lluvias son intensas y frecuentes, por lo que el diseño de las edificaciones y del drenaje pluvial considera la evacuación controlada de las aguas de lluvia y la protección de los elementos estructurales.</w:t>
      </w:r>
    </w:p>
    <w:p>
      <w:pPr>
        <w:pStyle w:val="Heading2"/>
      </w:pPr>
      <w:r>
        <w:t>5.2 Altitud, extensión e hidrología</w:t>
      </w:r>
    </w:p>
    <w:p>
      <w:pPr>
        <w:spacing w:after="120"/>
        <w:jc w:val="both"/>
      </w:pPr>
      <w:r>
        <w:rPr>
          <w:b w:val="0"/>
        </w:rPr>
        <w:t>El distrito de Morales tiene una extensión de 966.38 km² y una fisiografía que varía desde los 283 hasta los 3,500 msnm. La red hidrográfica está dominada por el río Cumbaza, que nace en el Cerro Escalera, y por la quebrada Amorarca, límite entre Tarapoto y Morales. El terreno del proyecto se encuentra en el piso de valle, a una cota aproximada de 259 msnm según el levantamiento topográfico del expediente.</w:t>
      </w:r>
    </w:p>
    <w:p>
      <w:pPr>
        <w:pStyle w:val="Heading2"/>
      </w:pPr>
      <w:r>
        <w:t>5.3 Geología, geomorfología y sismicidad</w:t>
      </w:r>
    </w:p>
    <w:p>
      <w:pPr>
        <w:spacing w:after="120"/>
        <w:jc w:val="both"/>
      </w:pPr>
      <w:r>
        <w:rPr>
          <w:b w:val="0"/>
        </w:rPr>
        <w:t>El marco geológico se sustenta en el Boletín N.° 103 de la Serie A de la Carta Geológica Nacional del INGEMMET (Geología de los cuadrángulos de Tarapoto, Papa Playa, Utcurarca y Yanayacu). La geomorfología del valle del Bajo Mayo está determinada por estructuras de alineamiento NW-SE que revelan el tectonismo andino, distinguiéndose la Cordillera Tangarana, la Cordillera Escalera y la Depresión Tectónica del Bajo Mayo, donde se emplaza el proyecto. La región de San Martín se ubica en la zona de subducción de la placa de Nazca bajo la placa Sudamericana, con actividad sísmica asociada, por lo que las estructuras se diseñan con los parámetros sísmicos de la Norma Técnica E.030 del Reglamento Nacional de Edificaciones.</w:t>
      </w:r>
    </w:p>
    <w:p>
      <w:pPr>
        <w:pStyle w:val="Heading2"/>
      </w:pPr>
      <w:r>
        <w:t>5.4 Suelos y cimentación</w:t>
      </w:r>
    </w:p>
    <w:p>
      <w:pPr>
        <w:spacing w:after="120"/>
        <w:jc w:val="both"/>
      </w:pPr>
      <w:r>
        <w:rPr>
          <w:b w:val="0"/>
        </w:rPr>
        <w:t>Según el estudio de mecánica de suelos, el suelo de fundación es una arcilla inorgánica de ligera a mediana plasticidad, húmeda, con considerable a mucha arena fina y una pequeña cantidad de arena de grano medio, de consistencia rígida, clasificada como CL en el Sistema Unificado de Clasificación de Suelos. La capacidad admisible obtenida para las cimentaciones es qadm = 0.98 kg/cm².</w:t>
      </w:r>
    </w:p>
    <w:p>
      <w:pPr>
        <w:pStyle w:val="Heading2"/>
      </w:pPr>
      <w:r>
        <w:t>5.5 Topografía</w:t>
      </w:r>
    </w:p>
    <w:p>
      <w:pPr>
        <w:spacing w:after="120"/>
        <w:jc w:val="both"/>
      </w:pPr>
      <w:r>
        <w:rPr>
          <w:b w:val="0"/>
        </w:rPr>
        <w:t>La topografía del terreno es plana, con pendiente aproximada de 1 %, por lo que no se requieren movimientos de tierra significativos para alcanzar los niveles de las plataformas. El nivel de piso terminado de las edificaciones se ubica 0.15 m por encima de las veredas y circulaciones exteriores, con cota de referencia 259.75 msnm.</w:t>
      </w:r>
    </w:p>
    <w:p>
      <w:pPr>
        <w:pStyle w:val="Heading2"/>
      </w:pPr>
      <w:r>
        <w:t>5.6 Peligros y gestión del riesgo</w:t>
      </w:r>
    </w:p>
    <w:p>
      <w:pPr>
        <w:spacing w:after="120"/>
        <w:jc w:val="both"/>
      </w:pPr>
      <w:r>
        <w:rPr>
          <w:b w:val="0"/>
        </w:rPr>
        <w:t>La identificación de peligros del estudio de preinversión determinó un nivel de riesgo medio frente a sismos y lluvias intensas. Para su gestión, las estructuras incorporan los parámetros sísmicos de la norma vigente y el proyecto incluye las obras de evacuación de aguas pluviales de techos, pisos y áreas exteriores, con descarga en el colector pluvial frontal, así como la protección frente a tormentas eléctricas en las instalaciones eléctricas.</w:t>
      </w:r>
    </w:p>
    <w:p>
      <w:pPr>
        <w:pStyle w:val="Heading1"/>
      </w:pPr>
      <w:r>
        <w:t>6. POBLACIÓN BENEFICIARIA Y DEMANDA DEL SERVICIO</w:t>
      </w:r>
    </w:p>
    <w:p>
      <w:pPr>
        <w:spacing w:after="120"/>
        <w:jc w:val="both"/>
      </w:pPr>
      <w:r>
        <w:rPr>
          <w:b w:val="0"/>
        </w:rPr>
        <w:t>Según el Censo Nacional 2017, el distrito de Morales contaba con 33,067 habitantes (16,493 hombres y 16,574 mujeres), con una tasa de crecimiento intercensal de 3.45 % anual. La población es eminentemente joven: la primera infancia (0 a 4 años) representa el 8.2 %, la infancia (5 a 11 años) el 17.3 % y la adolescencia (12 a 18 años) el 9.5 % del total.</w:t>
      </w:r>
    </w:p>
    <w:p>
      <w:pPr>
        <w:spacing w:after="120"/>
        <w:jc w:val="both"/>
      </w:pPr>
      <w:r>
        <w:rPr>
          <w:b w:val="0"/>
        </w:rPr>
        <w:t>La demanda efectiva del servicio corresponde a la población de niñas, niños y adolescentes de 0 a 19 años del distrito, proyectada con la tasa de crecimiento distrital a lo largo del horizonte de evaluación de diez años: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1814"/>
            <w:shd w:val="clear" w:color="auto" w:fill="D9E2F3"/>
          </w:tcPr>
          <w:p>
            <w:pPr>
              <w:jc w:val="center"/>
            </w:pPr>
            <w:r/>
            <w:r>
              <w:rPr>
                <w:b/>
                <w:sz w:val="16"/>
              </w:rPr>
              <w:t>Año</w:t>
            </w:r>
          </w:p>
        </w:tc>
        <w:tc>
          <w:tcPr>
            <w:tcW w:type="dxa" w:w="680"/>
            <w:shd w:val="clear" w:color="auto" w:fill="D9E2F3"/>
          </w:tcPr>
          <w:p>
            <w:pPr>
              <w:jc w:val="center"/>
            </w:pPr>
            <w:r/>
            <w:r>
              <w:rPr>
                <w:b/>
                <w:sz w:val="16"/>
              </w:rPr>
              <w:t>2025</w:t>
            </w:r>
          </w:p>
        </w:tc>
        <w:tc>
          <w:tcPr>
            <w:tcW w:type="dxa" w:w="680"/>
            <w:shd w:val="clear" w:color="auto" w:fill="D9E2F3"/>
          </w:tcPr>
          <w:p>
            <w:pPr>
              <w:jc w:val="center"/>
            </w:pPr>
            <w:r/>
            <w:r>
              <w:rPr>
                <w:b/>
                <w:sz w:val="16"/>
              </w:rPr>
              <w:t>2026</w:t>
            </w:r>
          </w:p>
        </w:tc>
        <w:tc>
          <w:tcPr>
            <w:tcW w:type="dxa" w:w="680"/>
            <w:shd w:val="clear" w:color="auto" w:fill="D9E2F3"/>
          </w:tcPr>
          <w:p>
            <w:pPr>
              <w:jc w:val="center"/>
            </w:pPr>
            <w:r/>
            <w:r>
              <w:rPr>
                <w:b/>
                <w:sz w:val="16"/>
              </w:rPr>
              <w:t>2027</w:t>
            </w:r>
          </w:p>
        </w:tc>
        <w:tc>
          <w:tcPr>
            <w:tcW w:type="dxa" w:w="680"/>
            <w:shd w:val="clear" w:color="auto" w:fill="D9E2F3"/>
          </w:tcPr>
          <w:p>
            <w:pPr>
              <w:jc w:val="center"/>
            </w:pPr>
            <w:r/>
            <w:r>
              <w:rPr>
                <w:b/>
                <w:sz w:val="16"/>
              </w:rPr>
              <w:t>2028</w:t>
            </w:r>
          </w:p>
        </w:tc>
        <w:tc>
          <w:tcPr>
            <w:tcW w:type="dxa" w:w="680"/>
            <w:shd w:val="clear" w:color="auto" w:fill="D9E2F3"/>
          </w:tcPr>
          <w:p>
            <w:pPr>
              <w:jc w:val="center"/>
            </w:pPr>
            <w:r/>
            <w:r>
              <w:rPr>
                <w:b/>
                <w:sz w:val="16"/>
              </w:rPr>
              <w:t>2029</w:t>
            </w:r>
          </w:p>
        </w:tc>
        <w:tc>
          <w:tcPr>
            <w:tcW w:type="dxa" w:w="680"/>
            <w:shd w:val="clear" w:color="auto" w:fill="D9E2F3"/>
          </w:tcPr>
          <w:p>
            <w:pPr>
              <w:jc w:val="center"/>
            </w:pPr>
            <w:r/>
            <w:r>
              <w:rPr>
                <w:b/>
                <w:sz w:val="16"/>
              </w:rPr>
              <w:t>2030</w:t>
            </w:r>
          </w:p>
        </w:tc>
        <w:tc>
          <w:tcPr>
            <w:tcW w:type="dxa" w:w="680"/>
            <w:shd w:val="clear" w:color="auto" w:fill="D9E2F3"/>
          </w:tcPr>
          <w:p>
            <w:pPr>
              <w:jc w:val="center"/>
            </w:pPr>
            <w:r/>
            <w:r>
              <w:rPr>
                <w:b/>
                <w:sz w:val="16"/>
              </w:rPr>
              <w:t>2031</w:t>
            </w:r>
          </w:p>
        </w:tc>
        <w:tc>
          <w:tcPr>
            <w:tcW w:type="dxa" w:w="680"/>
            <w:shd w:val="clear" w:color="auto" w:fill="D9E2F3"/>
          </w:tcPr>
          <w:p>
            <w:pPr>
              <w:jc w:val="center"/>
            </w:pPr>
            <w:r/>
            <w:r>
              <w:rPr>
                <w:b/>
                <w:sz w:val="16"/>
              </w:rPr>
              <w:t>2032</w:t>
            </w:r>
          </w:p>
        </w:tc>
        <w:tc>
          <w:tcPr>
            <w:tcW w:type="dxa" w:w="680"/>
            <w:shd w:val="clear" w:color="auto" w:fill="D9E2F3"/>
          </w:tcPr>
          <w:p>
            <w:pPr>
              <w:jc w:val="center"/>
            </w:pPr>
            <w:r/>
            <w:r>
              <w:rPr>
                <w:b/>
                <w:sz w:val="16"/>
              </w:rPr>
              <w:t>2033</w:t>
            </w:r>
          </w:p>
        </w:tc>
        <w:tc>
          <w:tcPr>
            <w:tcW w:type="dxa" w:w="680"/>
            <w:shd w:val="clear" w:color="auto" w:fill="D9E2F3"/>
          </w:tcPr>
          <w:p>
            <w:pPr>
              <w:jc w:val="center"/>
            </w:pPr>
            <w:r/>
            <w:r>
              <w:rPr>
                <w:b/>
                <w:sz w:val="16"/>
              </w:rPr>
              <w:t>2034</w:t>
            </w:r>
          </w:p>
        </w:tc>
        <w:tc>
          <w:tcPr>
            <w:tcW w:type="dxa" w:w="680"/>
            <w:shd w:val="clear" w:color="auto" w:fill="D9E2F3"/>
          </w:tcPr>
          <w:p>
            <w:pPr>
              <w:jc w:val="center"/>
            </w:pPr>
            <w:r/>
            <w:r>
              <w:rPr>
                <w:b/>
                <w:sz w:val="16"/>
              </w:rPr>
              <w:t>2035</w:t>
            </w:r>
          </w:p>
        </w:tc>
      </w:tr>
      <w:tr>
        <w:tc>
          <w:tcPr>
            <w:tcW w:type="dxa" w:w="1814"/>
          </w:tcPr>
          <w:p>
            <w:r/>
            <w:r>
              <w:rPr>
                <w:sz w:val="16"/>
              </w:rPr>
              <w:t>Población de 0 a 19 años</w:t>
            </w:r>
          </w:p>
        </w:tc>
        <w:tc>
          <w:tcPr>
            <w:tcW w:type="dxa" w:w="680"/>
          </w:tcPr>
          <w:p>
            <w:pPr>
              <w:jc w:val="right"/>
            </w:pPr>
            <w:r/>
            <w:r>
              <w:rPr>
                <w:sz w:val="16"/>
              </w:rPr>
              <w:t>15,186</w:t>
            </w:r>
          </w:p>
        </w:tc>
        <w:tc>
          <w:tcPr>
            <w:tcW w:type="dxa" w:w="680"/>
          </w:tcPr>
          <w:p>
            <w:pPr>
              <w:jc w:val="right"/>
            </w:pPr>
            <w:r/>
            <w:r>
              <w:rPr>
                <w:sz w:val="16"/>
              </w:rPr>
              <w:t>15,709</w:t>
            </w:r>
          </w:p>
        </w:tc>
        <w:tc>
          <w:tcPr>
            <w:tcW w:type="dxa" w:w="680"/>
          </w:tcPr>
          <w:p>
            <w:pPr>
              <w:jc w:val="right"/>
            </w:pPr>
            <w:r/>
            <w:r>
              <w:rPr>
                <w:sz w:val="16"/>
              </w:rPr>
              <w:t>16,251</w:t>
            </w:r>
          </w:p>
        </w:tc>
        <w:tc>
          <w:tcPr>
            <w:tcW w:type="dxa" w:w="680"/>
          </w:tcPr>
          <w:p>
            <w:pPr>
              <w:jc w:val="right"/>
            </w:pPr>
            <w:r/>
            <w:r>
              <w:rPr>
                <w:sz w:val="16"/>
              </w:rPr>
              <w:t>16,811</w:t>
            </w:r>
          </w:p>
        </w:tc>
        <w:tc>
          <w:tcPr>
            <w:tcW w:type="dxa" w:w="680"/>
          </w:tcPr>
          <w:p>
            <w:pPr>
              <w:jc w:val="right"/>
            </w:pPr>
            <w:r/>
            <w:r>
              <w:rPr>
                <w:sz w:val="16"/>
              </w:rPr>
              <w:t>17,391</w:t>
            </w:r>
          </w:p>
        </w:tc>
        <w:tc>
          <w:tcPr>
            <w:tcW w:type="dxa" w:w="680"/>
          </w:tcPr>
          <w:p>
            <w:pPr>
              <w:jc w:val="right"/>
            </w:pPr>
            <w:r/>
            <w:r>
              <w:rPr>
                <w:sz w:val="16"/>
              </w:rPr>
              <w:t>17,990</w:t>
            </w:r>
          </w:p>
        </w:tc>
        <w:tc>
          <w:tcPr>
            <w:tcW w:type="dxa" w:w="680"/>
          </w:tcPr>
          <w:p>
            <w:pPr>
              <w:jc w:val="right"/>
            </w:pPr>
            <w:r/>
            <w:r>
              <w:rPr>
                <w:sz w:val="16"/>
              </w:rPr>
              <w:t>18,610</w:t>
            </w:r>
          </w:p>
        </w:tc>
        <w:tc>
          <w:tcPr>
            <w:tcW w:type="dxa" w:w="680"/>
          </w:tcPr>
          <w:p>
            <w:pPr>
              <w:jc w:val="right"/>
            </w:pPr>
            <w:r/>
            <w:r>
              <w:rPr>
                <w:sz w:val="16"/>
              </w:rPr>
              <w:t>19,252</w:t>
            </w:r>
          </w:p>
        </w:tc>
        <w:tc>
          <w:tcPr>
            <w:tcW w:type="dxa" w:w="680"/>
          </w:tcPr>
          <w:p>
            <w:pPr>
              <w:jc w:val="right"/>
            </w:pPr>
            <w:r/>
            <w:r>
              <w:rPr>
                <w:sz w:val="16"/>
              </w:rPr>
              <w:t>19,916</w:t>
            </w:r>
          </w:p>
        </w:tc>
        <w:tc>
          <w:tcPr>
            <w:tcW w:type="dxa" w:w="680"/>
          </w:tcPr>
          <w:p>
            <w:pPr>
              <w:jc w:val="right"/>
            </w:pPr>
            <w:r/>
            <w:r>
              <w:rPr>
                <w:sz w:val="16"/>
              </w:rPr>
              <w:t>20,602</w:t>
            </w:r>
          </w:p>
        </w:tc>
        <w:tc>
          <w:tcPr>
            <w:tcW w:type="dxa" w:w="680"/>
          </w:tcPr>
          <w:p>
            <w:pPr>
              <w:jc w:val="right"/>
            </w:pPr>
            <w:r/>
            <w:r>
              <w:rPr>
                <w:sz w:val="16"/>
              </w:rPr>
              <w:t>21,312</w:t>
            </w:r>
          </w:p>
        </w:tc>
      </w:tr>
    </w:tbl>
    <w:p>
      <w:pPr>
        <w:spacing w:after="80"/>
      </w:pPr>
      <w:r>
        <w:rPr>
          <w:i/>
          <w:sz w:val="16"/>
        </w:rPr>
        <w:t>Fuente: Resumen Ejecutivo del estudio de preinversión, Tabla 14.</w:t>
      </w:r>
    </w:p>
    <w:p>
      <w:pPr>
        <w:spacing w:after="120"/>
        <w:jc w:val="both"/>
      </w:pPr>
      <w:r>
        <w:rPr>
          <w:b w:val="0"/>
        </w:rPr>
        <w:t>Al no existir oferta de acogida residencial en el distrito, la brecha del servicio equivale a la totalidad de la demanda efectiva. La población beneficiaria directa en el primer año de operación es de 15,709 niñas, niños y adolescentes del distrito de Morales, y de 21,312 al año diez.</w:t>
      </w:r>
    </w:p>
    <w:p>
      <w:pPr>
        <w:pStyle w:val="Heading1"/>
      </w:pPr>
      <w:r>
        <w:t>7. MARCO NORMATIVO</w:t>
      </w:r>
    </w:p>
    <w:p>
      <w:pPr>
        <w:pStyle w:val="ListBullet"/>
        <w:spacing w:after="60"/>
        <w:jc w:val="both"/>
      </w:pPr>
      <w:r>
        <w:t>Decreto Legislativo N.° 1297, Decreto Legislativo para la protección de niñas, niños y adolescentes sin cuidados parentales o en riesgo de perderlos, y su Reglamento, aprobado por Decreto Supremo N.° 001-2018-MIMP.</w:t>
      </w:r>
    </w:p>
    <w:p>
      <w:pPr>
        <w:pStyle w:val="ListBullet"/>
        <w:spacing w:after="60"/>
        <w:jc w:val="both"/>
      </w:pPr>
      <w:r>
        <w:t>Directivas N.° 005-2020-MIMP y N.° 006-2020-MIMP, y Manual de Intervención en Centros de Acogida Residencial de Niñas, Niños y Adolescentes del MIMP.</w:t>
      </w:r>
    </w:p>
    <w:p>
      <w:pPr>
        <w:pStyle w:val="ListBullet"/>
        <w:spacing w:after="60"/>
        <w:jc w:val="both"/>
      </w:pPr>
      <w:r>
        <w:t>Decreto Legislativo N.° 1252, que crea el Sistema Nacional de Programación Multianual y Gestión de Inversiones, su Reglamento aprobado por Decreto Supremo N.° 284-2018-EF y la Directiva General aprobada por Resolución Directoral N.° 001-2019-EF/63.01.</w:t>
      </w:r>
    </w:p>
    <w:p>
      <w:pPr>
        <w:pStyle w:val="ListBullet"/>
        <w:spacing w:after="60"/>
        <w:jc w:val="both"/>
      </w:pPr>
      <w:r>
        <w:t>Ley N.° 29090, Ley de regulación de habilitaciones urbanas y de edificaciones, y su Reglamento aprobado por Decreto Supremo N.° 029-2019-VIVIENDA.</w:t>
      </w:r>
    </w:p>
    <w:p>
      <w:pPr>
        <w:pStyle w:val="ListBullet"/>
        <w:spacing w:after="60"/>
        <w:jc w:val="both"/>
      </w:pPr>
      <w:r>
        <w:t>Reglamento Nacional de Edificaciones: normas G.010 a G.050; A.010 Condiciones generales de diseño; A.090 Servicios comunales; A.120 Accesibilidad universal en edificaciones; A.130 Requisitos de seguridad; E.020 Cargas; E.030 Diseño sismorresistente; E.050 Suelos y cimentaciones; E.060 Concreto armado; E.070 Albañilería; E.090 Estructuras metálicas; IS.010 Instalaciones sanitarias para edificaciones; EM.010 Instalaciones eléctricas interiores; CE.040 Drenaje pluvial.</w:t>
      </w:r>
    </w:p>
    <w:p>
      <w:pPr>
        <w:pStyle w:val="ListBullet"/>
        <w:spacing w:after="60"/>
        <w:jc w:val="both"/>
      </w:pPr>
      <w:r>
        <w:t>Código Nacional de Electricidad - Utilización.</w:t>
      </w:r>
    </w:p>
    <w:p>
      <w:pPr>
        <w:pStyle w:val="ListBullet"/>
        <w:spacing w:after="60"/>
        <w:jc w:val="both"/>
      </w:pPr>
      <w:r>
        <w:t>Resolución Directoral N.° 073-2010/VIVIENDA/VMCS-DNC, Norma Técnica de Metrados para Obras de Edificación y Habilitaciones Urbanas.</w:t>
      </w:r>
    </w:p>
    <w:p>
      <w:pPr>
        <w:pStyle w:val="ListBullet"/>
        <w:spacing w:after="60"/>
        <w:jc w:val="both"/>
      </w:pPr>
      <w:r>
        <w:t>Ley N.° 30225, Ley de Contrataciones del Estado, y su Reglamento, en lo aplicable a la elaboración del expediente técnico y a la ejecución de la obra.</w:t>
      </w:r>
    </w:p>
    <w:p>
      <w:pPr>
        <w:pStyle w:val="ListBullet"/>
        <w:spacing w:after="60"/>
        <w:jc w:val="both"/>
      </w:pPr>
      <w:r>
        <w:t>Resolución Jefatural N.° 058-2020-CENEPRED/J, lineamientos para la evaluación del riesgo de desastres.</w:t>
      </w:r>
    </w:p>
    <w:p>
      <w:pPr>
        <w:pStyle w:val="Heading1"/>
      </w:pPr>
      <w:r>
        <w:t>8. DESCRIPCIÓN DEL PROYECTO</w:t>
      </w:r>
    </w:p>
    <w:p>
      <w:pPr>
        <w:pStyle w:val="Heading2"/>
      </w:pPr>
      <w:r>
        <w:t>8.1 Concepción general</w:t>
      </w:r>
    </w:p>
    <w:p>
      <w:pPr>
        <w:spacing w:after="120"/>
        <w:jc w:val="both"/>
      </w:pPr>
      <w:r>
        <w:rPr>
          <w:b w:val="0"/>
        </w:rPr>
        <w:t>El proyecto construye un Centro de Acogida Residencial para mujeres en un terreno de 6,999.98 m² con frente a la Carretera Oasis. La intervención se desarrolla íntegramente en un solo nivel y se organiza a partir de una circulación peatonal central techada, de dirección norte a sur, que parte del ingreso principal y articula las edificaciones a ambos lados. Hacia el frente se ubican el ingreso principal con su guardianía, los estacionamientos y la zona administrativa; hacia el interior, las residencias y el patio de juegos; al fondo, la losa deportiva techada con su módulo de servicios. El lado oeste concentra el ingreso secundario, el patio de maniobras y estacionamiento, los servicios generales, el servicio de alimentación y el biohuerto.</w:t>
      </w:r>
    </w:p>
    <w:p>
      <w:pPr>
        <w:spacing w:after="120"/>
        <w:jc w:val="both"/>
      </w:pPr>
      <w:r>
        <w:rPr>
          <w:b w:val="0"/>
        </w:rPr>
        <w:t>Esta disposición separa las circulaciones de servicio y de visitas de las zonas residenciales, mantiene a las residencias en el sector más protegido del terreno y responde al modelo de atención de los CAR, que exige espacios familiares, confortables y seguros, con unidades de vivienda independientes organizadas por grupos de edad, ambientes para el equipo técnico fuera de las viviendas y espacios exteriores para la recreación.</w:t>
      </w:r>
    </w:p>
    <w:p>
      <w:pPr>
        <w:pStyle w:val="Heading2"/>
      </w:pPr>
      <w:r>
        <w:t>8.2 Componentes del proyecto</w:t>
      </w:r>
    </w:p>
    <w:p>
      <w:pPr>
        <w:pStyle w:val="ListBullet"/>
        <w:spacing w:after="60"/>
        <w:jc w:val="both"/>
      </w:pPr>
      <w:r>
        <w:t>Componente 1. Infraestructura: diez edificaciones (Edificación 01 a Edificación 10), la losa deportiva techada y dos guardianías, con un área techada total de 3,654.58 m², más las obras exteriores (circulaciones techadas y veredas, patio de juegos, estacionamientos y patio de maniobras, áreas verdes y biohuerto, cerco perimétrico y portadas) y las instalaciones sanitarias, eléctricas y de drenaje pluvial, incluido el colector pluvial frontal.</w:t>
      </w:r>
    </w:p>
    <w:p>
      <w:pPr>
        <w:pStyle w:val="ListBullet"/>
        <w:spacing w:after="60"/>
        <w:jc w:val="both"/>
      </w:pPr>
      <w:r>
        <w:t>Componente 2. Mobiliario y equipamiento de los ambientes administrativos, complementarios y de bienestar y seguridad.</w:t>
      </w:r>
    </w:p>
    <w:p>
      <w:pPr>
        <w:pStyle w:val="ListBullet"/>
        <w:spacing w:after="60"/>
        <w:jc w:val="both"/>
      </w:pPr>
      <w:r>
        <w:t>Componente 3. Desarrollo de capacidades: asistencia técnica y capacitación del personal técnico y administrativo del CAR.</w:t>
      </w:r>
    </w:p>
    <w:p>
      <w:pPr>
        <w:pStyle w:val="Heading2"/>
      </w:pPr>
      <w:r>
        <w:t>8.3 Componente 1: Infraestructura</w:t>
      </w:r>
    </w:p>
    <w:p>
      <w:pPr>
        <w:spacing w:after="120"/>
        <w:jc w:val="both"/>
      </w:pPr>
      <w:r>
        <w:rPr>
          <w:b w:val="0"/>
        </w:rPr>
        <w:t>Las edificaciones son de un nivel, con estructura aporticada de concreto armado, muros de albañilería, cobertura metálica de planchas TR4 de Aluzinc sobre tijerales metálicos, canaletas y montantes para la evacuación de las aguas de lluvia y veredas perimetrales en todo su contorno. La descripción de cada bloque corresponde a los planos de arquitectura del expediente.</w:t>
      </w:r>
    </w:p>
    <w:p>
      <w:pPr>
        <w:pStyle w:val="Heading3"/>
      </w:pPr>
      <w:r>
        <w:t>a) Zona administrativa y de atención: Edificación 01 (Administración)</w:t>
      </w:r>
    </w:p>
    <w:p>
      <w:pPr>
        <w:spacing w:after="120"/>
        <w:jc w:val="both"/>
      </w:pPr>
      <w:r>
        <w:rPr>
          <w:b w:val="0"/>
        </w:rPr>
        <w:t>Ubicada al ingreso del conjunto, frente al estacionamiento principal, concentra la gestión del centro y la atención técnica y especializada, de manera que las visitas y los trámites se resuelven sin ingresar a la zona residencial. Se organiza en dos crujías unidas por un pasadizo central e incluye los siguientes ambientes:</w:t>
      </w:r>
    </w:p>
    <w:tbl>
      <w:tblPr>
        <w:tblStyle w:val="TableGrid"/>
        <w:tblW w:type="auto" w:w="0"/>
        <w:jc w:val="center"/>
        <w:tblLook w:firstColumn="1" w:firstRow="1" w:lastColumn="0" w:lastRow="0" w:noHBand="0" w:noVBand="1" w:val="04A0"/>
      </w:tblPr>
      <w:tblGrid>
        <w:gridCol w:w="4703"/>
        <w:gridCol w:w="4703"/>
      </w:tblGrid>
      <w:tr>
        <w:tc>
          <w:tcPr>
            <w:tcW w:type="dxa" w:w="6236"/>
            <w:shd w:val="clear" w:color="auto" w:fill="D9E2F3"/>
          </w:tcPr>
          <w:p>
            <w:pPr>
              <w:jc w:val="center"/>
            </w:pPr>
            <w:r/>
            <w:r>
              <w:rPr>
                <w:b/>
                <w:sz w:val="18"/>
              </w:rPr>
              <w:t>Ambiente</w:t>
            </w:r>
          </w:p>
        </w:tc>
        <w:tc>
          <w:tcPr>
            <w:tcW w:type="dxa" w:w="2268"/>
            <w:shd w:val="clear" w:color="auto" w:fill="D9E2F3"/>
          </w:tcPr>
          <w:p>
            <w:pPr>
              <w:jc w:val="center"/>
            </w:pPr>
            <w:r/>
            <w:r>
              <w:rPr>
                <w:b/>
                <w:sz w:val="18"/>
              </w:rPr>
              <w:t>Área neta (m²)</w:t>
            </w:r>
          </w:p>
        </w:tc>
      </w:tr>
      <w:tr>
        <w:tc>
          <w:tcPr>
            <w:tcW w:type="dxa" w:w="6236"/>
          </w:tcPr>
          <w:p>
            <w:r/>
            <w:r>
              <w:rPr>
                <w:sz w:val="18"/>
              </w:rPr>
              <w:t>Hall de ingreso y trabajador social</w:t>
            </w:r>
          </w:p>
        </w:tc>
        <w:tc>
          <w:tcPr>
            <w:tcW w:type="dxa" w:w="2268"/>
          </w:tcPr>
          <w:p>
            <w:pPr>
              <w:jc w:val="right"/>
            </w:pPr>
            <w:r/>
            <w:r>
              <w:rPr>
                <w:sz w:val="18"/>
              </w:rPr>
              <w:t>23.66</w:t>
            </w:r>
          </w:p>
        </w:tc>
      </w:tr>
      <w:tr>
        <w:tc>
          <w:tcPr>
            <w:tcW w:type="dxa" w:w="6236"/>
          </w:tcPr>
          <w:p>
            <w:r/>
            <w:r>
              <w:rPr>
                <w:sz w:val="18"/>
              </w:rPr>
              <w:t>Ingreso</w:t>
            </w:r>
          </w:p>
        </w:tc>
        <w:tc>
          <w:tcPr>
            <w:tcW w:type="dxa" w:w="2268"/>
          </w:tcPr>
          <w:p>
            <w:pPr>
              <w:jc w:val="right"/>
            </w:pPr>
            <w:r/>
            <w:r>
              <w:rPr>
                <w:sz w:val="18"/>
              </w:rPr>
              <w:t>9.22</w:t>
            </w:r>
          </w:p>
        </w:tc>
      </w:tr>
      <w:tr>
        <w:tc>
          <w:tcPr>
            <w:tcW w:type="dxa" w:w="6236"/>
          </w:tcPr>
          <w:p>
            <w:r/>
            <w:r>
              <w:rPr>
                <w:sz w:val="18"/>
              </w:rPr>
              <w:t>Secretaría y sala de espera</w:t>
            </w:r>
          </w:p>
        </w:tc>
        <w:tc>
          <w:tcPr>
            <w:tcW w:type="dxa" w:w="2268"/>
          </w:tcPr>
          <w:p>
            <w:pPr>
              <w:jc w:val="right"/>
            </w:pPr>
            <w:r/>
            <w:r>
              <w:rPr>
                <w:sz w:val="18"/>
              </w:rPr>
              <w:t>10.37</w:t>
            </w:r>
          </w:p>
        </w:tc>
      </w:tr>
      <w:tr>
        <w:tc>
          <w:tcPr>
            <w:tcW w:type="dxa" w:w="6236"/>
          </w:tcPr>
          <w:p>
            <w:r/>
            <w:r>
              <w:rPr>
                <w:sz w:val="18"/>
              </w:rPr>
              <w:t>Dirección general</w:t>
            </w:r>
          </w:p>
        </w:tc>
        <w:tc>
          <w:tcPr>
            <w:tcW w:type="dxa" w:w="2268"/>
          </w:tcPr>
          <w:p>
            <w:pPr>
              <w:jc w:val="right"/>
            </w:pPr>
            <w:r/>
            <w:r>
              <w:rPr>
                <w:sz w:val="18"/>
              </w:rPr>
              <w:t>10.14</w:t>
            </w:r>
          </w:p>
        </w:tc>
      </w:tr>
      <w:tr>
        <w:tc>
          <w:tcPr>
            <w:tcW w:type="dxa" w:w="6236"/>
          </w:tcPr>
          <w:p>
            <w:r/>
            <w:r>
              <w:rPr>
                <w:sz w:val="18"/>
              </w:rPr>
              <w:t>Monitoreo</w:t>
            </w:r>
          </w:p>
        </w:tc>
        <w:tc>
          <w:tcPr>
            <w:tcW w:type="dxa" w:w="2268"/>
          </w:tcPr>
          <w:p>
            <w:pPr>
              <w:jc w:val="right"/>
            </w:pPr>
            <w:r/>
            <w:r>
              <w:rPr>
                <w:sz w:val="18"/>
              </w:rPr>
              <w:t>10.50</w:t>
            </w:r>
          </w:p>
        </w:tc>
      </w:tr>
      <w:tr>
        <w:tc>
          <w:tcPr>
            <w:tcW w:type="dxa" w:w="6236"/>
          </w:tcPr>
          <w:p>
            <w:r/>
            <w:r>
              <w:rPr>
                <w:sz w:val="18"/>
              </w:rPr>
              <w:t>Data center</w:t>
            </w:r>
          </w:p>
        </w:tc>
        <w:tc>
          <w:tcPr>
            <w:tcW w:type="dxa" w:w="2268"/>
          </w:tcPr>
          <w:p>
            <w:pPr>
              <w:jc w:val="right"/>
            </w:pPr>
            <w:r/>
            <w:r>
              <w:rPr>
                <w:sz w:val="18"/>
              </w:rPr>
              <w:t>4.23</w:t>
            </w:r>
          </w:p>
        </w:tc>
      </w:tr>
      <w:tr>
        <w:tc>
          <w:tcPr>
            <w:tcW w:type="dxa" w:w="6236"/>
          </w:tcPr>
          <w:p>
            <w:r/>
            <w:r>
              <w:rPr>
                <w:sz w:val="18"/>
              </w:rPr>
              <w:t>Sala de psicología</w:t>
            </w:r>
          </w:p>
        </w:tc>
        <w:tc>
          <w:tcPr>
            <w:tcW w:type="dxa" w:w="2268"/>
          </w:tcPr>
          <w:p>
            <w:pPr>
              <w:jc w:val="right"/>
            </w:pPr>
            <w:r/>
            <w:r>
              <w:rPr>
                <w:sz w:val="18"/>
              </w:rPr>
              <w:t>9.86</w:t>
            </w:r>
          </w:p>
        </w:tc>
      </w:tr>
      <w:tr>
        <w:tc>
          <w:tcPr>
            <w:tcW w:type="dxa" w:w="6236"/>
          </w:tcPr>
          <w:p>
            <w:r/>
            <w:r>
              <w:rPr>
                <w:sz w:val="18"/>
              </w:rPr>
              <w:t>Sala de reuniones</w:t>
            </w:r>
          </w:p>
        </w:tc>
        <w:tc>
          <w:tcPr>
            <w:tcW w:type="dxa" w:w="2268"/>
          </w:tcPr>
          <w:p>
            <w:pPr>
              <w:jc w:val="right"/>
            </w:pPr>
            <w:r/>
            <w:r>
              <w:rPr>
                <w:sz w:val="18"/>
              </w:rPr>
              <w:t>15.37</w:t>
            </w:r>
          </w:p>
        </w:tc>
      </w:tr>
      <w:tr>
        <w:tc>
          <w:tcPr>
            <w:tcW w:type="dxa" w:w="6236"/>
          </w:tcPr>
          <w:p>
            <w:r/>
            <w:r>
              <w:rPr>
                <w:sz w:val="18"/>
              </w:rPr>
              <w:t>Asesoría legal</w:t>
            </w:r>
          </w:p>
        </w:tc>
        <w:tc>
          <w:tcPr>
            <w:tcW w:type="dxa" w:w="2268"/>
          </w:tcPr>
          <w:p>
            <w:pPr>
              <w:jc w:val="right"/>
            </w:pPr>
            <w:r/>
            <w:r>
              <w:rPr>
                <w:sz w:val="18"/>
              </w:rPr>
              <w:t>9.81</w:t>
            </w:r>
          </w:p>
        </w:tc>
      </w:tr>
      <w:tr>
        <w:tc>
          <w:tcPr>
            <w:tcW w:type="dxa" w:w="6236"/>
          </w:tcPr>
          <w:p>
            <w:r/>
            <w:r>
              <w:rPr>
                <w:sz w:val="18"/>
              </w:rPr>
              <w:t>Educador</w:t>
            </w:r>
          </w:p>
        </w:tc>
        <w:tc>
          <w:tcPr>
            <w:tcW w:type="dxa" w:w="2268"/>
          </w:tcPr>
          <w:p>
            <w:pPr>
              <w:jc w:val="right"/>
            </w:pPr>
            <w:r/>
            <w:r>
              <w:rPr>
                <w:sz w:val="18"/>
              </w:rPr>
              <w:t>7.64</w:t>
            </w:r>
          </w:p>
        </w:tc>
      </w:tr>
      <w:tr>
        <w:tc>
          <w:tcPr>
            <w:tcW w:type="dxa" w:w="6236"/>
          </w:tcPr>
          <w:p>
            <w:r/>
            <w:r>
              <w:rPr>
                <w:sz w:val="18"/>
              </w:rPr>
              <w:t>Consultorio de nutrición</w:t>
            </w:r>
          </w:p>
        </w:tc>
        <w:tc>
          <w:tcPr>
            <w:tcW w:type="dxa" w:w="2268"/>
          </w:tcPr>
          <w:p>
            <w:pPr>
              <w:jc w:val="right"/>
            </w:pPr>
            <w:r/>
            <w:r>
              <w:rPr>
                <w:sz w:val="18"/>
              </w:rPr>
              <w:t>8.45</w:t>
            </w:r>
          </w:p>
        </w:tc>
      </w:tr>
      <w:tr>
        <w:tc>
          <w:tcPr>
            <w:tcW w:type="dxa" w:w="6236"/>
          </w:tcPr>
          <w:p>
            <w:r/>
            <w:r>
              <w:rPr>
                <w:sz w:val="18"/>
              </w:rPr>
              <w:t>Tópico</w:t>
            </w:r>
          </w:p>
        </w:tc>
        <w:tc>
          <w:tcPr>
            <w:tcW w:type="dxa" w:w="2268"/>
          </w:tcPr>
          <w:p>
            <w:pPr>
              <w:jc w:val="right"/>
            </w:pPr>
            <w:r/>
            <w:r>
              <w:rPr>
                <w:sz w:val="18"/>
              </w:rPr>
              <w:t>11.99</w:t>
            </w:r>
          </w:p>
        </w:tc>
      </w:tr>
      <w:tr>
        <w:tc>
          <w:tcPr>
            <w:tcW w:type="dxa" w:w="6236"/>
          </w:tcPr>
          <w:p>
            <w:r/>
            <w:r>
              <w:rPr>
                <w:sz w:val="18"/>
              </w:rPr>
              <w:t>SS.HH. varones</w:t>
            </w:r>
          </w:p>
        </w:tc>
        <w:tc>
          <w:tcPr>
            <w:tcW w:type="dxa" w:w="2268"/>
          </w:tcPr>
          <w:p>
            <w:pPr>
              <w:jc w:val="right"/>
            </w:pPr>
            <w:r/>
            <w:r>
              <w:rPr>
                <w:sz w:val="18"/>
              </w:rPr>
              <w:t>3.17</w:t>
            </w:r>
          </w:p>
        </w:tc>
      </w:tr>
      <w:tr>
        <w:tc>
          <w:tcPr>
            <w:tcW w:type="dxa" w:w="6236"/>
          </w:tcPr>
          <w:p>
            <w:r/>
            <w:r>
              <w:rPr>
                <w:sz w:val="18"/>
              </w:rPr>
              <w:t>SS.HH. mujeres</w:t>
            </w:r>
          </w:p>
        </w:tc>
        <w:tc>
          <w:tcPr>
            <w:tcW w:type="dxa" w:w="2268"/>
          </w:tcPr>
          <w:p>
            <w:pPr>
              <w:jc w:val="right"/>
            </w:pPr>
            <w:r/>
            <w:r>
              <w:rPr>
                <w:sz w:val="18"/>
              </w:rPr>
              <w:t>1.64</w:t>
            </w:r>
          </w:p>
        </w:tc>
      </w:tr>
      <w:tr>
        <w:tc>
          <w:tcPr>
            <w:tcW w:type="dxa" w:w="6236"/>
          </w:tcPr>
          <w:p>
            <w:r/>
            <w:r>
              <w:rPr>
                <w:sz w:val="18"/>
              </w:rPr>
              <w:t>Pasadizos (2)</w:t>
            </w:r>
          </w:p>
        </w:tc>
        <w:tc>
          <w:tcPr>
            <w:tcW w:type="dxa" w:w="2268"/>
          </w:tcPr>
          <w:p>
            <w:pPr>
              <w:jc w:val="right"/>
            </w:pPr>
            <w:r/>
            <w:r>
              <w:rPr>
                <w:sz w:val="18"/>
              </w:rPr>
              <w:t>18.23</w:t>
            </w:r>
          </w:p>
        </w:tc>
      </w:tr>
      <w:tr>
        <w:tc>
          <w:tcPr>
            <w:tcW w:type="dxa" w:w="6236"/>
          </w:tcPr>
          <w:p>
            <w:r/>
            <w:r>
              <w:rPr>
                <w:b/>
                <w:sz w:val="18"/>
              </w:rPr>
              <w:t>Área techada de la edificación (proyección de cobertura)</w:t>
            </w:r>
          </w:p>
        </w:tc>
        <w:tc>
          <w:tcPr>
            <w:tcW w:type="dxa" w:w="2268"/>
          </w:tcPr>
          <w:p>
            <w:pPr>
              <w:jc w:val="right"/>
            </w:pPr>
            <w:r/>
            <w:r>
              <w:rPr>
                <w:b/>
                <w:sz w:val="18"/>
              </w:rPr>
              <w:t>302.40</w:t>
            </w:r>
          </w:p>
        </w:tc>
      </w:tr>
    </w:tbl>
    <w:p>
      <w:pPr>
        <w:spacing w:after="80"/>
      </w:pPr>
    </w:p>
    <w:p>
      <w:pPr>
        <w:pStyle w:val="Heading3"/>
      </w:pPr>
      <w:r>
        <w:t>b) Servicios higiénicos públicos: Edificación 02</w:t>
      </w:r>
    </w:p>
    <w:p>
      <w:pPr>
        <w:spacing w:after="120"/>
        <w:jc w:val="both"/>
      </w:pPr>
      <w:r>
        <w:rPr>
          <w:b w:val="0"/>
        </w:rPr>
        <w:t>Módulo de servicios higiénicos para visitantes, ubicado junto a la administración y al patio de ingreso, con batería para mujeres (17.31 m²), batería para hombres (18.53 m²) y servicio higiénico para personas con discapacidad (6.08 m²), con acceso independiente desde la circulación exterior. Área techada: 97.93 m².</w:t>
      </w:r>
    </w:p>
    <w:p>
      <w:pPr>
        <w:pStyle w:val="Heading3"/>
      </w:pPr>
      <w:r>
        <w:t>c) Zona residencial: Edificaciones 03, 04, 07 y 08</w:t>
      </w:r>
    </w:p>
    <w:p>
      <w:pPr>
        <w:spacing w:after="120"/>
        <w:jc w:val="both"/>
      </w:pPr>
      <w:r>
        <w:rPr>
          <w:b w:val="0"/>
        </w:rPr>
        <w:t>La zona residencial está formada por cuatro unidades de vivienda independientes, de planta igual, organizadas por grupos de edad conforme al modelo de atención de los Centros de Acogida Residencial: la Edificación 03 para niñas de 03 a 05 años, la Edificación 04 para niñas de 06 a 11 años, y las Edificaciones 07 y 08 para adolescentes de 12 a 17 años. Las Edificaciones 03 y 04 se ubican al este de la circulación central, a ambos lados del patio de juegos; las Edificaciones 07 y 08 se ubican al oeste, separadas entre sí por un jardín interior.</w:t>
      </w:r>
    </w:p>
    <w:p>
      <w:pPr>
        <w:spacing w:after="120"/>
        <w:jc w:val="both"/>
      </w:pPr>
      <w:r>
        <w:rPr>
          <w:b w:val="0"/>
        </w:rPr>
        <w:t>Cada residencia reproduce la organización de una vivienda familiar: un sector social al ingreso, con sala-estar y sala de entrevista; un sector íntimo con dos dormitorios compartidos y servicios higiénicos; un sector de apoyo con la sala de psicomotricidad, que incluye los sectores de hogar y dramatización y de biblioteca; y un sector de servicio con el dormitorio del personal de atención permanente (PAP) con closet y baño propio, lavandería y depósito. Los ambientes se vinculan por un pasadizo central y la edificación cuenta con vereda perimetral.</w:t>
      </w:r>
    </w:p>
    <w:tbl>
      <w:tblPr>
        <w:tblStyle w:val="TableGrid"/>
        <w:tblW w:type="auto" w:w="0"/>
        <w:jc w:val="center"/>
        <w:tblLook w:firstColumn="1" w:firstRow="1" w:lastColumn="0" w:lastRow="0" w:noHBand="0" w:noVBand="1" w:val="04A0"/>
      </w:tblPr>
      <w:tblGrid>
        <w:gridCol w:w="4703"/>
        <w:gridCol w:w="4703"/>
      </w:tblGrid>
      <w:tr>
        <w:tc>
          <w:tcPr>
            <w:tcW w:type="dxa" w:w="6236"/>
            <w:shd w:val="clear" w:color="auto" w:fill="D9E2F3"/>
          </w:tcPr>
          <w:p>
            <w:pPr>
              <w:jc w:val="center"/>
            </w:pPr>
            <w:r/>
            <w:r>
              <w:rPr>
                <w:b/>
                <w:sz w:val="18"/>
              </w:rPr>
              <w:t>Ambiente</w:t>
            </w:r>
          </w:p>
        </w:tc>
        <w:tc>
          <w:tcPr>
            <w:tcW w:type="dxa" w:w="2268"/>
            <w:shd w:val="clear" w:color="auto" w:fill="D9E2F3"/>
          </w:tcPr>
          <w:p>
            <w:pPr>
              <w:jc w:val="center"/>
            </w:pPr>
            <w:r/>
            <w:r>
              <w:rPr>
                <w:b/>
                <w:sz w:val="18"/>
              </w:rPr>
              <w:t>Área neta (m²)</w:t>
            </w:r>
          </w:p>
        </w:tc>
      </w:tr>
      <w:tr>
        <w:tc>
          <w:tcPr>
            <w:tcW w:type="dxa" w:w="6236"/>
          </w:tcPr>
          <w:p>
            <w:r/>
            <w:r>
              <w:rPr>
                <w:sz w:val="18"/>
              </w:rPr>
              <w:t>Ingreso</w:t>
            </w:r>
          </w:p>
        </w:tc>
        <w:tc>
          <w:tcPr>
            <w:tcW w:type="dxa" w:w="2268"/>
          </w:tcPr>
          <w:p>
            <w:pPr>
              <w:jc w:val="right"/>
            </w:pPr>
            <w:r/>
            <w:r>
              <w:rPr>
                <w:sz w:val="18"/>
              </w:rPr>
              <w:t>11.49</w:t>
            </w:r>
          </w:p>
        </w:tc>
      </w:tr>
      <w:tr>
        <w:tc>
          <w:tcPr>
            <w:tcW w:type="dxa" w:w="6236"/>
          </w:tcPr>
          <w:p>
            <w:r/>
            <w:r>
              <w:rPr>
                <w:sz w:val="18"/>
              </w:rPr>
              <w:t>Sala-estar</w:t>
            </w:r>
          </w:p>
        </w:tc>
        <w:tc>
          <w:tcPr>
            <w:tcW w:type="dxa" w:w="2268"/>
          </w:tcPr>
          <w:p>
            <w:pPr>
              <w:jc w:val="right"/>
            </w:pPr>
            <w:r/>
            <w:r>
              <w:rPr>
                <w:sz w:val="18"/>
              </w:rPr>
              <w:t>16.01</w:t>
            </w:r>
          </w:p>
        </w:tc>
      </w:tr>
      <w:tr>
        <w:tc>
          <w:tcPr>
            <w:tcW w:type="dxa" w:w="6236"/>
          </w:tcPr>
          <w:p>
            <w:r/>
            <w:r>
              <w:rPr>
                <w:sz w:val="18"/>
              </w:rPr>
              <w:t>Sala de entrevista</w:t>
            </w:r>
          </w:p>
        </w:tc>
        <w:tc>
          <w:tcPr>
            <w:tcW w:type="dxa" w:w="2268"/>
          </w:tcPr>
          <w:p>
            <w:pPr>
              <w:jc w:val="right"/>
            </w:pPr>
            <w:r/>
            <w:r>
              <w:rPr>
                <w:sz w:val="18"/>
              </w:rPr>
              <w:t>14.84</w:t>
            </w:r>
          </w:p>
        </w:tc>
      </w:tr>
      <w:tr>
        <w:tc>
          <w:tcPr>
            <w:tcW w:type="dxa" w:w="6236"/>
          </w:tcPr>
          <w:p>
            <w:r/>
            <w:r>
              <w:rPr>
                <w:sz w:val="18"/>
              </w:rPr>
              <w:t>Dormitorio compartido 1</w:t>
            </w:r>
          </w:p>
        </w:tc>
        <w:tc>
          <w:tcPr>
            <w:tcW w:type="dxa" w:w="2268"/>
          </w:tcPr>
          <w:p>
            <w:pPr>
              <w:jc w:val="right"/>
            </w:pPr>
            <w:r/>
            <w:r>
              <w:rPr>
                <w:sz w:val="18"/>
              </w:rPr>
              <w:t>40.10</w:t>
            </w:r>
          </w:p>
        </w:tc>
      </w:tr>
      <w:tr>
        <w:tc>
          <w:tcPr>
            <w:tcW w:type="dxa" w:w="6236"/>
          </w:tcPr>
          <w:p>
            <w:r/>
            <w:r>
              <w:rPr>
                <w:sz w:val="18"/>
              </w:rPr>
              <w:t>Dormitorio compartido 2</w:t>
            </w:r>
          </w:p>
        </w:tc>
        <w:tc>
          <w:tcPr>
            <w:tcW w:type="dxa" w:w="2268"/>
          </w:tcPr>
          <w:p>
            <w:pPr>
              <w:jc w:val="right"/>
            </w:pPr>
            <w:r/>
            <w:r>
              <w:rPr>
                <w:sz w:val="18"/>
              </w:rPr>
              <w:t>40.08</w:t>
            </w:r>
          </w:p>
        </w:tc>
      </w:tr>
      <w:tr>
        <w:tc>
          <w:tcPr>
            <w:tcW w:type="dxa" w:w="6236"/>
          </w:tcPr>
          <w:p>
            <w:r/>
            <w:r>
              <w:rPr>
                <w:sz w:val="18"/>
              </w:rPr>
              <w:t>Servicios higiénicos compartidos (cuatro cubículos y lavatorios)</w:t>
            </w:r>
          </w:p>
        </w:tc>
        <w:tc>
          <w:tcPr>
            <w:tcW w:type="dxa" w:w="2268"/>
          </w:tcPr>
          <w:p>
            <w:pPr>
              <w:jc w:val="right"/>
            </w:pPr>
            <w:r/>
            <w:r>
              <w:rPr>
                <w:sz w:val="18"/>
              </w:rPr>
              <w:t>9.47</w:t>
            </w:r>
          </w:p>
        </w:tc>
      </w:tr>
      <w:tr>
        <w:tc>
          <w:tcPr>
            <w:tcW w:type="dxa" w:w="6236"/>
          </w:tcPr>
          <w:p>
            <w:r/>
            <w:r>
              <w:rPr>
                <w:sz w:val="18"/>
              </w:rPr>
              <w:t>Pasadizo</w:t>
            </w:r>
          </w:p>
        </w:tc>
        <w:tc>
          <w:tcPr>
            <w:tcW w:type="dxa" w:w="2268"/>
          </w:tcPr>
          <w:p>
            <w:pPr>
              <w:jc w:val="right"/>
            </w:pPr>
            <w:r/>
            <w:r>
              <w:rPr>
                <w:sz w:val="18"/>
              </w:rPr>
              <w:t>14.05</w:t>
            </w:r>
          </w:p>
        </w:tc>
      </w:tr>
      <w:tr>
        <w:tc>
          <w:tcPr>
            <w:tcW w:type="dxa" w:w="6236"/>
          </w:tcPr>
          <w:p>
            <w:r/>
            <w:r>
              <w:rPr>
                <w:sz w:val="18"/>
              </w:rPr>
              <w:t>Sala de psicomotricidad, con sector hogar y dramatización y sector biblioteca</w:t>
            </w:r>
          </w:p>
        </w:tc>
        <w:tc>
          <w:tcPr>
            <w:tcW w:type="dxa" w:w="2268"/>
          </w:tcPr>
          <w:p>
            <w:pPr>
              <w:jc w:val="right"/>
            </w:pPr>
            <w:r/>
            <w:r>
              <w:rPr>
                <w:sz w:val="18"/>
              </w:rPr>
              <w:t>38.77</w:t>
            </w:r>
          </w:p>
        </w:tc>
      </w:tr>
      <w:tr>
        <w:tc>
          <w:tcPr>
            <w:tcW w:type="dxa" w:w="6236"/>
          </w:tcPr>
          <w:p>
            <w:r/>
            <w:r>
              <w:rPr>
                <w:sz w:val="18"/>
              </w:rPr>
              <w:t>Dormitorio PAP con closet</w:t>
            </w:r>
          </w:p>
        </w:tc>
        <w:tc>
          <w:tcPr>
            <w:tcW w:type="dxa" w:w="2268"/>
          </w:tcPr>
          <w:p>
            <w:pPr>
              <w:jc w:val="right"/>
            </w:pPr>
            <w:r/>
            <w:r>
              <w:rPr>
                <w:sz w:val="18"/>
              </w:rPr>
              <w:t>7.74</w:t>
            </w:r>
          </w:p>
        </w:tc>
      </w:tr>
      <w:tr>
        <w:tc>
          <w:tcPr>
            <w:tcW w:type="dxa" w:w="6236"/>
          </w:tcPr>
          <w:p>
            <w:r/>
            <w:r>
              <w:rPr>
                <w:sz w:val="18"/>
              </w:rPr>
              <w:t>SS.HH. del dormitorio PAP</w:t>
            </w:r>
          </w:p>
        </w:tc>
        <w:tc>
          <w:tcPr>
            <w:tcW w:type="dxa" w:w="2268"/>
          </w:tcPr>
          <w:p>
            <w:pPr>
              <w:jc w:val="right"/>
            </w:pPr>
            <w:r/>
            <w:r>
              <w:rPr>
                <w:sz w:val="18"/>
              </w:rPr>
              <w:t>1.08</w:t>
            </w:r>
          </w:p>
        </w:tc>
      </w:tr>
      <w:tr>
        <w:tc>
          <w:tcPr>
            <w:tcW w:type="dxa" w:w="6236"/>
          </w:tcPr>
          <w:p>
            <w:r/>
            <w:r>
              <w:rPr>
                <w:sz w:val="18"/>
              </w:rPr>
              <w:t>Lavandería</w:t>
            </w:r>
          </w:p>
        </w:tc>
        <w:tc>
          <w:tcPr>
            <w:tcW w:type="dxa" w:w="2268"/>
          </w:tcPr>
          <w:p>
            <w:pPr>
              <w:jc w:val="right"/>
            </w:pPr>
            <w:r/>
            <w:r>
              <w:rPr>
                <w:sz w:val="18"/>
              </w:rPr>
              <w:t>5.74</w:t>
            </w:r>
          </w:p>
        </w:tc>
      </w:tr>
      <w:tr>
        <w:tc>
          <w:tcPr>
            <w:tcW w:type="dxa" w:w="6236"/>
          </w:tcPr>
          <w:p>
            <w:r/>
            <w:r>
              <w:rPr>
                <w:sz w:val="18"/>
              </w:rPr>
              <w:t>Depósito</w:t>
            </w:r>
          </w:p>
        </w:tc>
        <w:tc>
          <w:tcPr>
            <w:tcW w:type="dxa" w:w="2268"/>
          </w:tcPr>
          <w:p>
            <w:pPr>
              <w:jc w:val="right"/>
            </w:pPr>
            <w:r/>
            <w:r>
              <w:rPr>
                <w:sz w:val="18"/>
              </w:rPr>
              <w:t>4.42</w:t>
            </w:r>
          </w:p>
        </w:tc>
      </w:tr>
    </w:tbl>
    <w:p>
      <w:pPr>
        <w:spacing w:after="80"/>
      </w:pP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D9E2F3"/>
          </w:tcPr>
          <w:p>
            <w:pPr>
              <w:jc w:val="center"/>
            </w:pPr>
            <w:r/>
            <w:r>
              <w:rPr>
                <w:b/>
                <w:sz w:val="18"/>
              </w:rPr>
              <w:t>Edificación</w:t>
            </w:r>
          </w:p>
        </w:tc>
        <w:tc>
          <w:tcPr>
            <w:tcW w:type="dxa" w:w="3969"/>
            <w:shd w:val="clear" w:color="auto" w:fill="D9E2F3"/>
          </w:tcPr>
          <w:p>
            <w:pPr>
              <w:jc w:val="center"/>
            </w:pPr>
            <w:r/>
            <w:r>
              <w:rPr>
                <w:b/>
                <w:sz w:val="18"/>
              </w:rPr>
              <w:t>Uso</w:t>
            </w:r>
          </w:p>
        </w:tc>
        <w:tc>
          <w:tcPr>
            <w:tcW w:type="dxa" w:w="2268"/>
            <w:shd w:val="clear" w:color="auto" w:fill="D9E2F3"/>
          </w:tcPr>
          <w:p>
            <w:pPr>
              <w:jc w:val="center"/>
            </w:pPr>
            <w:r/>
            <w:r>
              <w:rPr>
                <w:b/>
                <w:sz w:val="18"/>
              </w:rPr>
              <w:t>Área techada (m²)</w:t>
            </w:r>
          </w:p>
        </w:tc>
      </w:tr>
      <w:tr>
        <w:tc>
          <w:tcPr>
            <w:tcW w:type="dxa" w:w="2268"/>
          </w:tcPr>
          <w:p>
            <w:r/>
            <w:r>
              <w:rPr>
                <w:sz w:val="18"/>
              </w:rPr>
              <w:t>Edificación 03</w:t>
            </w:r>
          </w:p>
        </w:tc>
        <w:tc>
          <w:tcPr>
            <w:tcW w:type="dxa" w:w="3969"/>
          </w:tcPr>
          <w:p>
            <w:r/>
            <w:r>
              <w:rPr>
                <w:sz w:val="18"/>
              </w:rPr>
              <w:t>Residencia de 03 a 05 años</w:t>
            </w:r>
          </w:p>
        </w:tc>
        <w:tc>
          <w:tcPr>
            <w:tcW w:type="dxa" w:w="2268"/>
          </w:tcPr>
          <w:p>
            <w:pPr>
              <w:jc w:val="right"/>
            </w:pPr>
            <w:r/>
            <w:r>
              <w:rPr>
                <w:sz w:val="18"/>
              </w:rPr>
              <w:t>370.88</w:t>
            </w:r>
          </w:p>
        </w:tc>
      </w:tr>
      <w:tr>
        <w:tc>
          <w:tcPr>
            <w:tcW w:type="dxa" w:w="2268"/>
          </w:tcPr>
          <w:p>
            <w:r/>
            <w:r>
              <w:rPr>
                <w:sz w:val="18"/>
              </w:rPr>
              <w:t>Edificación 04</w:t>
            </w:r>
          </w:p>
        </w:tc>
        <w:tc>
          <w:tcPr>
            <w:tcW w:type="dxa" w:w="3969"/>
          </w:tcPr>
          <w:p>
            <w:r/>
            <w:r>
              <w:rPr>
                <w:sz w:val="18"/>
              </w:rPr>
              <w:t>Residencia de 06 a 11 años</w:t>
            </w:r>
          </w:p>
        </w:tc>
        <w:tc>
          <w:tcPr>
            <w:tcW w:type="dxa" w:w="2268"/>
          </w:tcPr>
          <w:p>
            <w:pPr>
              <w:jc w:val="right"/>
            </w:pPr>
            <w:r/>
            <w:r>
              <w:rPr>
                <w:sz w:val="18"/>
              </w:rPr>
              <w:t>371.33</w:t>
            </w:r>
          </w:p>
        </w:tc>
      </w:tr>
      <w:tr>
        <w:tc>
          <w:tcPr>
            <w:tcW w:type="dxa" w:w="2268"/>
          </w:tcPr>
          <w:p>
            <w:r/>
            <w:r>
              <w:rPr>
                <w:sz w:val="18"/>
              </w:rPr>
              <w:t>Edificación 07</w:t>
            </w:r>
          </w:p>
        </w:tc>
        <w:tc>
          <w:tcPr>
            <w:tcW w:type="dxa" w:w="3969"/>
          </w:tcPr>
          <w:p>
            <w:r/>
            <w:r>
              <w:rPr>
                <w:sz w:val="18"/>
              </w:rPr>
              <w:t>Residencia de 12 a 17 años</w:t>
            </w:r>
          </w:p>
        </w:tc>
        <w:tc>
          <w:tcPr>
            <w:tcW w:type="dxa" w:w="2268"/>
          </w:tcPr>
          <w:p>
            <w:pPr>
              <w:jc w:val="right"/>
            </w:pPr>
            <w:r/>
            <w:r>
              <w:rPr>
                <w:sz w:val="18"/>
              </w:rPr>
              <w:t>374.67</w:t>
            </w:r>
          </w:p>
        </w:tc>
      </w:tr>
      <w:tr>
        <w:tc>
          <w:tcPr>
            <w:tcW w:type="dxa" w:w="2268"/>
          </w:tcPr>
          <w:p>
            <w:r/>
            <w:r>
              <w:rPr>
                <w:sz w:val="18"/>
              </w:rPr>
              <w:t>Edificación 08</w:t>
            </w:r>
          </w:p>
        </w:tc>
        <w:tc>
          <w:tcPr>
            <w:tcW w:type="dxa" w:w="3969"/>
          </w:tcPr>
          <w:p>
            <w:r/>
            <w:r>
              <w:rPr>
                <w:sz w:val="18"/>
              </w:rPr>
              <w:t>Residencia de 12 a 17 años</w:t>
            </w:r>
          </w:p>
        </w:tc>
        <w:tc>
          <w:tcPr>
            <w:tcW w:type="dxa" w:w="2268"/>
          </w:tcPr>
          <w:p>
            <w:pPr>
              <w:jc w:val="right"/>
            </w:pPr>
            <w:r/>
            <w:r>
              <w:rPr>
                <w:sz w:val="18"/>
              </w:rPr>
              <w:t>374.01</w:t>
            </w:r>
          </w:p>
        </w:tc>
      </w:tr>
      <w:tr>
        <w:tc>
          <w:tcPr>
            <w:tcW w:type="dxa" w:w="2268"/>
          </w:tcPr>
          <w:p>
            <w:r/>
            <w:r>
              <w:rPr>
                <w:b/>
                <w:sz w:val="18"/>
              </w:rPr>
              <w:t>Total zona residencial</w:t>
            </w:r>
          </w:p>
        </w:tc>
        <w:tc>
          <w:tcPr>
            <w:tcW w:type="dxa" w:w="3969"/>
          </w:tcPr>
          <w:p>
            <w:r/>
            <w:r>
              <w:rPr>
                <w:b/>
                <w:sz w:val="18"/>
              </w:rPr>
            </w:r>
          </w:p>
        </w:tc>
        <w:tc>
          <w:tcPr>
            <w:tcW w:type="dxa" w:w="2268"/>
          </w:tcPr>
          <w:p>
            <w:pPr>
              <w:jc w:val="right"/>
            </w:pPr>
            <w:r/>
            <w:r>
              <w:rPr>
                <w:b/>
                <w:sz w:val="18"/>
              </w:rPr>
              <w:t>1,490.89</w:t>
            </w:r>
          </w:p>
        </w:tc>
      </w:tr>
    </w:tbl>
    <w:p>
      <w:pPr>
        <w:spacing w:after="80"/>
      </w:pPr>
    </w:p>
    <w:p>
      <w:pPr>
        <w:pStyle w:val="Heading3"/>
      </w:pPr>
      <w:r>
        <w:t>d) Residencia de mamás sustitutas: Edificación 05</w:t>
      </w:r>
    </w:p>
    <w:p>
      <w:pPr>
        <w:spacing w:after="120"/>
        <w:jc w:val="both"/>
      </w:pPr>
      <w:r>
        <w:rPr>
          <w:b w:val="0"/>
        </w:rPr>
        <w:t>Módulo de vivienda para el personal femenino de cuidado, ubicado al noreste, próximo a las residencias de 06 a 11 años y de 12 a 17 años, con acceso desde la circulación central. Cuenta con dormitorio PAP (15.79 m²), un ambiente complementario contiguo (14.73 m²), dos servicios higiénicos, lavandería y depósito, además de vereda perimetral. Área techada: 117.96 m².</w:t>
      </w:r>
    </w:p>
    <w:p>
      <w:pPr>
        <w:pStyle w:val="Heading3"/>
      </w:pPr>
      <w:r>
        <w:t>e) Servicio de alimentación: Edificación 09 (SUM/comedor y cocina)</w:t>
      </w:r>
    </w:p>
    <w:p>
      <w:pPr>
        <w:spacing w:after="120"/>
        <w:jc w:val="both"/>
      </w:pPr>
      <w:r>
        <w:rPr>
          <w:b w:val="0"/>
        </w:rPr>
        <w:t>Edificación ubicada en el sector oeste, entre la circulación central y el patio de maniobras, de modo que el abastecimiento se realiza desde el patio de servicio sin cruzar la zona residencial. Está conformada por el salón de usos múltiples y comedor, un ambiente de 12.54 m por 18.03 m interiores (226.10 m²) con accesos desde la circulación central y desde el jardín lateral, y por el bloque de cocina (14.60 m²) con sus ambientes de apoyo para almacenamiento, lavado y servicio higiénico del personal. Área techada: 478.96 m².</w:t>
      </w:r>
    </w:p>
    <w:p>
      <w:pPr>
        <w:pStyle w:val="Heading3"/>
      </w:pPr>
      <w:r>
        <w:t>f) Servicios generales: Edificación 10</w:t>
      </w:r>
    </w:p>
    <w:p>
      <w:pPr>
        <w:spacing w:after="120"/>
        <w:jc w:val="both"/>
      </w:pPr>
      <w:r>
        <w:rPr>
          <w:b w:val="0"/>
        </w:rPr>
        <w:t>Módulo ubicado junto al ingreso secundario y al patio de maniobras, destinado a los equipos e instalaciones de servicio del centro, con cuatro ambientes técnicos de acceso independiente desde el exterior. Área techada: 86.11 m².</w:t>
      </w:r>
    </w:p>
    <w:p>
      <w:pPr>
        <w:pStyle w:val="Heading3"/>
      </w:pPr>
      <w:r>
        <w:t>g) Losa deportiva techada y módulo de servicios: Edificación 06</w:t>
      </w:r>
    </w:p>
    <w:p>
      <w:pPr>
        <w:spacing w:after="120"/>
        <w:jc w:val="both"/>
      </w:pPr>
      <w:r>
        <w:rPr>
          <w:b w:val="0"/>
        </w:rPr>
        <w:t>Al fondo del terreno, en el remate norte de la circulación central, se ubica la losa deportiva multiusos con cobertura metálica autosoportada sobre columnas, con nivel de piso terminado +0.15 m, para las actividades recreativas y deportivas de las residentes. Contiguo a la losa se ubica la Edificación 06, módulo de servicios higiénicos y vestidores con duchas de apoyo a la actividad deportiva. Áreas techadas: losa deportiva 828.91 m² y Edificación 06 151.08 m².</w:t>
      </w:r>
    </w:p>
    <w:p>
      <w:pPr>
        <w:pStyle w:val="Heading3"/>
      </w:pPr>
      <w:r>
        <w:t>h) Guardianías</w:t>
      </w:r>
    </w:p>
    <w:p>
      <w:pPr>
        <w:spacing w:after="120"/>
        <w:jc w:val="both"/>
      </w:pPr>
      <w:r>
        <w:rPr>
          <w:b w:val="0"/>
        </w:rPr>
        <w:t>El ingreso principal, por la Carretera Oasis, cuenta con una guardianía con servicio higiénico (7.43 m²) que controla el acceso peatonal y el estacionamiento N.° 01; el ingreso secundario, de servicio, cuenta con una caseta de control que vigila el patio de maniobras y el estacionamiento N.° 02. Áreas techadas: 37.41 m² y 62.93 m², respectivamente.</w:t>
      </w:r>
    </w:p>
    <w:p>
      <w:pPr>
        <w:pStyle w:val="Heading3"/>
      </w:pPr>
      <w:r>
        <w:t>i) Obras exteriores</w:t>
      </w:r>
    </w:p>
    <w:p>
      <w:pPr>
        <w:pStyle w:val="ListBullet"/>
        <w:spacing w:after="60"/>
        <w:jc w:val="both"/>
      </w:pPr>
      <w:r>
        <w:t>Circulación peatonal central techada y veredas de concreto que vinculan todas las edificaciones, con rampas de pendiente 10 % en los accesos desde la Carretera Oasis; las veredas y áreas libres de concreto frotachado suman 816.87 m² en veintidós paños.</w:t>
      </w:r>
    </w:p>
    <w:p>
      <w:pPr>
        <w:pStyle w:val="ListBullet"/>
        <w:spacing w:after="60"/>
        <w:jc w:val="both"/>
      </w:pPr>
      <w:r>
        <w:t>Estacionamiento N.° 01 para visitantes, al ingreso principal, con espacios para motocicletas y vehículos ligeros; estacionamiento N.° 02 y patio de maniobras de servicio, al ingreso secundario, para el abastecimiento de la cocina y los servicios generales. Superficie pavimentada total: 812.65 m² (728.10 m² y 84.55 m²).</w:t>
      </w:r>
    </w:p>
    <w:p>
      <w:pPr>
        <w:pStyle w:val="ListBullet"/>
        <w:spacing w:after="60"/>
        <w:jc w:val="both"/>
      </w:pPr>
      <w:r>
        <w:t>Patio de juegos entre las residencias de 03 a 05 años y de 06 a 11 años, de 201.33 m², con juegos infantiles.</w:t>
      </w:r>
    </w:p>
    <w:p>
      <w:pPr>
        <w:pStyle w:val="ListBullet"/>
        <w:spacing w:after="60"/>
        <w:jc w:val="both"/>
      </w:pPr>
      <w:r>
        <w:t>Áreas verdes y jardines interiores entre edificaciones, con arborización, por 2,206.56 m², y biohuerto en el sector oeste del terreno.</w:t>
      </w:r>
    </w:p>
    <w:p>
      <w:pPr>
        <w:pStyle w:val="ListBullet"/>
        <w:spacing w:after="60"/>
        <w:jc w:val="both"/>
      </w:pPr>
      <w:r>
        <w:t>Cerco perimétrico en los linderos del terreno y portadas en los ingresos principal y secundario.</w:t>
      </w:r>
    </w:p>
    <w:p>
      <w:pPr>
        <w:pStyle w:val="ListBullet"/>
        <w:spacing w:after="60"/>
        <w:jc w:val="both"/>
      </w:pPr>
      <w:r>
        <w:t>Obras exteriores identificadas en la planta general con los códigos OE‑01 a OE‑10 y obras complementarias OC‑01 a OC‑09, detalladas en los planos de la especialidad.</w:t>
      </w:r>
    </w:p>
    <w:p>
      <w:pPr>
        <w:pStyle w:val="Heading3"/>
      </w:pPr>
      <w:r>
        <w:t>j) Instalaciones sanitarias</w:t>
      </w:r>
    </w:p>
    <w:p>
      <w:pPr>
        <w:spacing w:after="120"/>
        <w:jc w:val="both"/>
      </w:pPr>
      <w:r>
        <w:rPr>
          <w:b w:val="0"/>
        </w:rPr>
        <w:t>Comprenden las redes de agua potable y desagüe de las edificaciones y los servicios higiénicos descritos, con tuberías de PVC‑U, cajas de registro con tapas de inspección en las veredas y disposición final de las aguas residuales en un pozo séptico ubicado en el sector noroeste del terreno, de acuerdo con los planos de instalaciones sanitarias del expediente.</w:t>
      </w:r>
    </w:p>
    <w:p>
      <w:pPr>
        <w:pStyle w:val="Heading3"/>
      </w:pPr>
      <w:r>
        <w:t>k) Instalaciones eléctricas</w:t>
      </w:r>
    </w:p>
    <w:p>
      <w:pPr>
        <w:spacing w:after="120"/>
        <w:jc w:val="both"/>
      </w:pPr>
      <w:r>
        <w:rPr>
          <w:b w:val="0"/>
        </w:rPr>
        <w:t>Comprenden la acometida y las redes de alimentación a las edificaciones, los tableros de distribución, el alumbrado y los tomacorrientes interiores y el alumbrado de las circulaciones y áreas exteriores, de acuerdo con los planos de instalaciones eléctricas del expediente. Los equipos de servicio se ubican en la Edificación 10 (servicios generales).</w:t>
      </w:r>
    </w:p>
    <w:p>
      <w:pPr>
        <w:pStyle w:val="Heading3"/>
      </w:pPr>
      <w:r>
        <w:t>l) Drenaje pluvial</w:t>
      </w:r>
    </w:p>
    <w:p>
      <w:pPr>
        <w:spacing w:after="120"/>
        <w:jc w:val="both"/>
      </w:pPr>
      <w:r>
        <w:rPr>
          <w:b w:val="0"/>
        </w:rPr>
        <w:t>El sistema de drenaje pluvial se ha diseñado para un periodo de retorno de 25 años conforme a la Norma Técnica CE.040, con las coberturas TR4 como superficie de captación. Cada edificación evacúa sus techos mediante canaletas de 0.20 m × 0.25 m y montantes de PVC de 4” que descargan en cunetas de piso de concreto armado de 0.40 m × 0.30 m, abiertas con rejilla metálica o tapadas en los cruces de circulación. El sistema se organiza en trece sectores (la losa deportiva, las Edificaciones 01 a 10 y las guardianías 01 y 02), con una superficie de aporte de 3,654.58 m² de techos, 816.87 m² de veredas, 812.65 m² de pavimento y 2,206.56 m² de áreas verdes.</w:t>
      </w:r>
    </w:p>
    <w:p>
      <w:pPr>
        <w:spacing w:after="120"/>
        <w:jc w:val="both"/>
      </w:pPr>
      <w:r>
        <w:rPr>
          <w:b w:val="0"/>
        </w:rPr>
        <w:t>Las cunetas entregan al colector pluvial frontal, estructura de concreto armado de sección rectangular de 1.50 m de ancho interior y altura interior de 0.43 m a 0.67 m, que recorre el frente del terreno bajo la vereda, con eje a 0.85 m del lindero y pendiente de 0.302 %, y descarga hacia la Carretera Oasis mediante una estructura de salida con aleros, emboquillado de piedra y uña de concreto ciclópeo. El colector recibe además los aportes de los proyectos colindantes, Hogar de Refugio Temporal (CUI N.° 2675514) y CAR Varones (CUI N.° 2705619), con un caudal total de diseño de 822.9 L/s en la salida.</w:t>
      </w:r>
    </w:p>
    <w:p>
      <w:pPr>
        <w:pStyle w:val="Heading2"/>
      </w:pPr>
      <w:r>
        <w:t>8.4 Cuadro general de áreas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D9E2F3"/>
          </w:tcPr>
          <w:p>
            <w:pPr>
              <w:jc w:val="center"/>
            </w:pPr>
            <w:r/>
            <w:r>
              <w:rPr>
                <w:b/>
                <w:sz w:val="18"/>
              </w:rPr>
              <w:t>Bloque</w:t>
            </w:r>
          </w:p>
        </w:tc>
        <w:tc>
          <w:tcPr>
            <w:tcW w:type="dxa" w:w="4535"/>
            <w:shd w:val="clear" w:color="auto" w:fill="D9E2F3"/>
          </w:tcPr>
          <w:p>
            <w:pPr>
              <w:jc w:val="center"/>
            </w:pPr>
            <w:r/>
            <w:r>
              <w:rPr>
                <w:b/>
                <w:sz w:val="18"/>
              </w:rPr>
              <w:t>Uso</w:t>
            </w:r>
          </w:p>
        </w:tc>
        <w:tc>
          <w:tcPr>
            <w:tcW w:type="dxa" w:w="2268"/>
            <w:shd w:val="clear" w:color="auto" w:fill="D9E2F3"/>
          </w:tcPr>
          <w:p>
            <w:pPr>
              <w:jc w:val="center"/>
            </w:pPr>
            <w:r/>
            <w:r>
              <w:rPr>
                <w:b/>
                <w:sz w:val="18"/>
              </w:rPr>
              <w:t>Área techada (m²)</w:t>
            </w:r>
          </w:p>
        </w:tc>
      </w:tr>
      <w:tr>
        <w:tc>
          <w:tcPr>
            <w:tcW w:type="dxa" w:w="2268"/>
          </w:tcPr>
          <w:p>
            <w:r/>
            <w:r>
              <w:rPr>
                <w:sz w:val="18"/>
              </w:rPr>
              <w:t>Edificación 01</w:t>
            </w:r>
          </w:p>
        </w:tc>
        <w:tc>
          <w:tcPr>
            <w:tcW w:type="dxa" w:w="4535"/>
          </w:tcPr>
          <w:p>
            <w:r/>
            <w:r>
              <w:rPr>
                <w:sz w:val="18"/>
              </w:rPr>
              <w:t>Administración</w:t>
            </w:r>
          </w:p>
        </w:tc>
        <w:tc>
          <w:tcPr>
            <w:tcW w:type="dxa" w:w="2268"/>
          </w:tcPr>
          <w:p>
            <w:pPr>
              <w:jc w:val="right"/>
            </w:pPr>
            <w:r/>
            <w:r>
              <w:rPr>
                <w:sz w:val="18"/>
              </w:rPr>
              <w:t>302.40</w:t>
            </w:r>
          </w:p>
        </w:tc>
      </w:tr>
      <w:tr>
        <w:tc>
          <w:tcPr>
            <w:tcW w:type="dxa" w:w="2268"/>
          </w:tcPr>
          <w:p>
            <w:r/>
            <w:r>
              <w:rPr>
                <w:sz w:val="18"/>
              </w:rPr>
              <w:t>Edificación 02</w:t>
            </w:r>
          </w:p>
        </w:tc>
        <w:tc>
          <w:tcPr>
            <w:tcW w:type="dxa" w:w="4535"/>
          </w:tcPr>
          <w:p>
            <w:r/>
            <w:r>
              <w:rPr>
                <w:sz w:val="18"/>
              </w:rPr>
              <w:t>Servicios higiénicos públicos</w:t>
            </w:r>
          </w:p>
        </w:tc>
        <w:tc>
          <w:tcPr>
            <w:tcW w:type="dxa" w:w="2268"/>
          </w:tcPr>
          <w:p>
            <w:pPr>
              <w:jc w:val="right"/>
            </w:pPr>
            <w:r/>
            <w:r>
              <w:rPr>
                <w:sz w:val="18"/>
              </w:rPr>
              <w:t>97.93</w:t>
            </w:r>
          </w:p>
        </w:tc>
      </w:tr>
      <w:tr>
        <w:tc>
          <w:tcPr>
            <w:tcW w:type="dxa" w:w="2268"/>
          </w:tcPr>
          <w:p>
            <w:r/>
            <w:r>
              <w:rPr>
                <w:sz w:val="18"/>
              </w:rPr>
              <w:t>Edificación 03</w:t>
            </w:r>
          </w:p>
        </w:tc>
        <w:tc>
          <w:tcPr>
            <w:tcW w:type="dxa" w:w="4535"/>
          </w:tcPr>
          <w:p>
            <w:r/>
            <w:r>
              <w:rPr>
                <w:sz w:val="18"/>
              </w:rPr>
              <w:t>Residencia de 03 a 05 años</w:t>
            </w:r>
          </w:p>
        </w:tc>
        <w:tc>
          <w:tcPr>
            <w:tcW w:type="dxa" w:w="2268"/>
          </w:tcPr>
          <w:p>
            <w:pPr>
              <w:jc w:val="right"/>
            </w:pPr>
            <w:r/>
            <w:r>
              <w:rPr>
                <w:sz w:val="18"/>
              </w:rPr>
              <w:t>370.88</w:t>
            </w:r>
          </w:p>
        </w:tc>
      </w:tr>
      <w:tr>
        <w:tc>
          <w:tcPr>
            <w:tcW w:type="dxa" w:w="2268"/>
          </w:tcPr>
          <w:p>
            <w:r/>
            <w:r>
              <w:rPr>
                <w:sz w:val="18"/>
              </w:rPr>
              <w:t>Edificación 04</w:t>
            </w:r>
          </w:p>
        </w:tc>
        <w:tc>
          <w:tcPr>
            <w:tcW w:type="dxa" w:w="4535"/>
          </w:tcPr>
          <w:p>
            <w:r/>
            <w:r>
              <w:rPr>
                <w:sz w:val="18"/>
              </w:rPr>
              <w:t>Residencia de 06 a 11 años</w:t>
            </w:r>
          </w:p>
        </w:tc>
        <w:tc>
          <w:tcPr>
            <w:tcW w:type="dxa" w:w="2268"/>
          </w:tcPr>
          <w:p>
            <w:pPr>
              <w:jc w:val="right"/>
            </w:pPr>
            <w:r/>
            <w:r>
              <w:rPr>
                <w:sz w:val="18"/>
              </w:rPr>
              <w:t>371.33</w:t>
            </w:r>
          </w:p>
        </w:tc>
      </w:tr>
      <w:tr>
        <w:tc>
          <w:tcPr>
            <w:tcW w:type="dxa" w:w="2268"/>
          </w:tcPr>
          <w:p>
            <w:r/>
            <w:r>
              <w:rPr>
                <w:sz w:val="18"/>
              </w:rPr>
              <w:t>Edificación 05</w:t>
            </w:r>
          </w:p>
        </w:tc>
        <w:tc>
          <w:tcPr>
            <w:tcW w:type="dxa" w:w="4535"/>
          </w:tcPr>
          <w:p>
            <w:r/>
            <w:r>
              <w:rPr>
                <w:sz w:val="18"/>
              </w:rPr>
              <w:t>Residencia de mamás sustitutas</w:t>
            </w:r>
          </w:p>
        </w:tc>
        <w:tc>
          <w:tcPr>
            <w:tcW w:type="dxa" w:w="2268"/>
          </w:tcPr>
          <w:p>
            <w:pPr>
              <w:jc w:val="right"/>
            </w:pPr>
            <w:r/>
            <w:r>
              <w:rPr>
                <w:sz w:val="18"/>
              </w:rPr>
              <w:t>117.96</w:t>
            </w:r>
          </w:p>
        </w:tc>
      </w:tr>
      <w:tr>
        <w:tc>
          <w:tcPr>
            <w:tcW w:type="dxa" w:w="2268"/>
          </w:tcPr>
          <w:p>
            <w:r/>
            <w:r>
              <w:rPr>
                <w:sz w:val="18"/>
              </w:rPr>
              <w:t>Edificación 06</w:t>
            </w:r>
          </w:p>
        </w:tc>
        <w:tc>
          <w:tcPr>
            <w:tcW w:type="dxa" w:w="4535"/>
          </w:tcPr>
          <w:p>
            <w:r/>
            <w:r>
              <w:rPr>
                <w:sz w:val="18"/>
              </w:rPr>
              <w:t>Servicios higiénicos y vestidores de la losa deportiva</w:t>
            </w:r>
          </w:p>
        </w:tc>
        <w:tc>
          <w:tcPr>
            <w:tcW w:type="dxa" w:w="2268"/>
          </w:tcPr>
          <w:p>
            <w:pPr>
              <w:jc w:val="right"/>
            </w:pPr>
            <w:r/>
            <w:r>
              <w:rPr>
                <w:sz w:val="18"/>
              </w:rPr>
              <w:t>151.08</w:t>
            </w:r>
          </w:p>
        </w:tc>
      </w:tr>
      <w:tr>
        <w:tc>
          <w:tcPr>
            <w:tcW w:type="dxa" w:w="2268"/>
          </w:tcPr>
          <w:p>
            <w:r/>
            <w:r>
              <w:rPr>
                <w:sz w:val="18"/>
              </w:rPr>
              <w:t>Edificación 07</w:t>
            </w:r>
          </w:p>
        </w:tc>
        <w:tc>
          <w:tcPr>
            <w:tcW w:type="dxa" w:w="4535"/>
          </w:tcPr>
          <w:p>
            <w:r/>
            <w:r>
              <w:rPr>
                <w:sz w:val="18"/>
              </w:rPr>
              <w:t>Residencia de 12 a 17 años</w:t>
            </w:r>
          </w:p>
        </w:tc>
        <w:tc>
          <w:tcPr>
            <w:tcW w:type="dxa" w:w="2268"/>
          </w:tcPr>
          <w:p>
            <w:pPr>
              <w:jc w:val="right"/>
            </w:pPr>
            <w:r/>
            <w:r>
              <w:rPr>
                <w:sz w:val="18"/>
              </w:rPr>
              <w:t>374.67</w:t>
            </w:r>
          </w:p>
        </w:tc>
      </w:tr>
      <w:tr>
        <w:tc>
          <w:tcPr>
            <w:tcW w:type="dxa" w:w="2268"/>
          </w:tcPr>
          <w:p>
            <w:r/>
            <w:r>
              <w:rPr>
                <w:sz w:val="18"/>
              </w:rPr>
              <w:t>Edificación 08</w:t>
            </w:r>
          </w:p>
        </w:tc>
        <w:tc>
          <w:tcPr>
            <w:tcW w:type="dxa" w:w="4535"/>
          </w:tcPr>
          <w:p>
            <w:r/>
            <w:r>
              <w:rPr>
                <w:sz w:val="18"/>
              </w:rPr>
              <w:t>Residencia de 12 a 17 años</w:t>
            </w:r>
          </w:p>
        </w:tc>
        <w:tc>
          <w:tcPr>
            <w:tcW w:type="dxa" w:w="2268"/>
          </w:tcPr>
          <w:p>
            <w:pPr>
              <w:jc w:val="right"/>
            </w:pPr>
            <w:r/>
            <w:r>
              <w:rPr>
                <w:sz w:val="18"/>
              </w:rPr>
              <w:t>374.01</w:t>
            </w:r>
          </w:p>
        </w:tc>
      </w:tr>
      <w:tr>
        <w:tc>
          <w:tcPr>
            <w:tcW w:type="dxa" w:w="2268"/>
          </w:tcPr>
          <w:p>
            <w:r/>
            <w:r>
              <w:rPr>
                <w:sz w:val="18"/>
              </w:rPr>
              <w:t>Edificación 09</w:t>
            </w:r>
          </w:p>
        </w:tc>
        <w:tc>
          <w:tcPr>
            <w:tcW w:type="dxa" w:w="4535"/>
          </w:tcPr>
          <w:p>
            <w:r/>
            <w:r>
              <w:rPr>
                <w:sz w:val="18"/>
              </w:rPr>
              <w:t>SUM/comedor y cocina</w:t>
            </w:r>
          </w:p>
        </w:tc>
        <w:tc>
          <w:tcPr>
            <w:tcW w:type="dxa" w:w="2268"/>
          </w:tcPr>
          <w:p>
            <w:pPr>
              <w:jc w:val="right"/>
            </w:pPr>
            <w:r/>
            <w:r>
              <w:rPr>
                <w:sz w:val="18"/>
              </w:rPr>
              <w:t>478.96</w:t>
            </w:r>
          </w:p>
        </w:tc>
      </w:tr>
      <w:tr>
        <w:tc>
          <w:tcPr>
            <w:tcW w:type="dxa" w:w="2268"/>
          </w:tcPr>
          <w:p>
            <w:r/>
            <w:r>
              <w:rPr>
                <w:sz w:val="18"/>
              </w:rPr>
              <w:t>Edificación 10</w:t>
            </w:r>
          </w:p>
        </w:tc>
        <w:tc>
          <w:tcPr>
            <w:tcW w:type="dxa" w:w="4535"/>
          </w:tcPr>
          <w:p>
            <w:r/>
            <w:r>
              <w:rPr>
                <w:sz w:val="18"/>
              </w:rPr>
              <w:t>Servicios generales</w:t>
            </w:r>
          </w:p>
        </w:tc>
        <w:tc>
          <w:tcPr>
            <w:tcW w:type="dxa" w:w="2268"/>
          </w:tcPr>
          <w:p>
            <w:pPr>
              <w:jc w:val="right"/>
            </w:pPr>
            <w:r/>
            <w:r>
              <w:rPr>
                <w:sz w:val="18"/>
              </w:rPr>
              <w:t>86.11</w:t>
            </w:r>
          </w:p>
        </w:tc>
      </w:tr>
      <w:tr>
        <w:tc>
          <w:tcPr>
            <w:tcW w:type="dxa" w:w="2268"/>
          </w:tcPr>
          <w:p>
            <w:r/>
            <w:r>
              <w:rPr>
                <w:sz w:val="18"/>
              </w:rPr>
              <w:t>Losa deportiva</w:t>
            </w:r>
          </w:p>
        </w:tc>
        <w:tc>
          <w:tcPr>
            <w:tcW w:type="dxa" w:w="4535"/>
          </w:tcPr>
          <w:p>
            <w:r/>
            <w:r>
              <w:rPr>
                <w:sz w:val="18"/>
              </w:rPr>
              <w:t>Losa deportiva techada</w:t>
            </w:r>
          </w:p>
        </w:tc>
        <w:tc>
          <w:tcPr>
            <w:tcW w:type="dxa" w:w="2268"/>
          </w:tcPr>
          <w:p>
            <w:pPr>
              <w:jc w:val="right"/>
            </w:pPr>
            <w:r/>
            <w:r>
              <w:rPr>
                <w:sz w:val="18"/>
              </w:rPr>
              <w:t>828.91</w:t>
            </w:r>
          </w:p>
        </w:tc>
      </w:tr>
      <w:tr>
        <w:tc>
          <w:tcPr>
            <w:tcW w:type="dxa" w:w="2268"/>
          </w:tcPr>
          <w:p>
            <w:r/>
            <w:r>
              <w:rPr>
                <w:sz w:val="18"/>
              </w:rPr>
              <w:t>Guardianía 01</w:t>
            </w:r>
          </w:p>
        </w:tc>
        <w:tc>
          <w:tcPr>
            <w:tcW w:type="dxa" w:w="4535"/>
          </w:tcPr>
          <w:p>
            <w:r/>
            <w:r>
              <w:rPr>
                <w:sz w:val="18"/>
              </w:rPr>
              <w:t>Control de ingreso principal</w:t>
            </w:r>
          </w:p>
        </w:tc>
        <w:tc>
          <w:tcPr>
            <w:tcW w:type="dxa" w:w="2268"/>
          </w:tcPr>
          <w:p>
            <w:pPr>
              <w:jc w:val="right"/>
            </w:pPr>
            <w:r/>
            <w:r>
              <w:rPr>
                <w:sz w:val="18"/>
              </w:rPr>
              <w:t>37.41</w:t>
            </w:r>
          </w:p>
        </w:tc>
      </w:tr>
      <w:tr>
        <w:tc>
          <w:tcPr>
            <w:tcW w:type="dxa" w:w="2268"/>
          </w:tcPr>
          <w:p>
            <w:r/>
            <w:r>
              <w:rPr>
                <w:sz w:val="18"/>
              </w:rPr>
              <w:t>Guardianía 02</w:t>
            </w:r>
          </w:p>
        </w:tc>
        <w:tc>
          <w:tcPr>
            <w:tcW w:type="dxa" w:w="4535"/>
          </w:tcPr>
          <w:p>
            <w:r/>
            <w:r>
              <w:rPr>
                <w:sz w:val="18"/>
              </w:rPr>
              <w:t>Control de ingreso secundario</w:t>
            </w:r>
          </w:p>
        </w:tc>
        <w:tc>
          <w:tcPr>
            <w:tcW w:type="dxa" w:w="2268"/>
          </w:tcPr>
          <w:p>
            <w:pPr>
              <w:jc w:val="right"/>
            </w:pPr>
            <w:r/>
            <w:r>
              <w:rPr>
                <w:sz w:val="18"/>
              </w:rPr>
              <w:t>62.93</w:t>
            </w:r>
          </w:p>
        </w:tc>
      </w:tr>
      <w:tr>
        <w:tc>
          <w:tcPr>
            <w:tcW w:type="dxa" w:w="2268"/>
          </w:tcPr>
          <w:p>
            <w:r/>
            <w:r>
              <w:rPr>
                <w:b/>
                <w:sz w:val="18"/>
              </w:rPr>
              <w:t>Total área techada</w:t>
            </w:r>
          </w:p>
        </w:tc>
        <w:tc>
          <w:tcPr>
            <w:tcW w:type="dxa" w:w="4535"/>
          </w:tcPr>
          <w:p>
            <w:r/>
            <w:r>
              <w:rPr>
                <w:b/>
                <w:sz w:val="18"/>
              </w:rPr>
            </w:r>
          </w:p>
        </w:tc>
        <w:tc>
          <w:tcPr>
            <w:tcW w:type="dxa" w:w="2268"/>
          </w:tcPr>
          <w:p>
            <w:pPr>
              <w:jc w:val="right"/>
            </w:pPr>
            <w:r/>
            <w:r>
              <w:rPr>
                <w:b/>
                <w:sz w:val="18"/>
              </w:rPr>
              <w:t>3,654.58</w:t>
            </w:r>
          </w:p>
        </w:tc>
      </w:tr>
    </w:tbl>
    <w:p>
      <w:pPr>
        <w:spacing w:after="80"/>
      </w:pPr>
    </w:p>
    <w:tbl>
      <w:tblPr>
        <w:tblStyle w:val="TableGrid"/>
        <w:tblW w:type="auto" w:w="0"/>
        <w:jc w:val="center"/>
        <w:tblLook w:firstColumn="1" w:firstRow="1" w:lastColumn="0" w:lastRow="0" w:noHBand="0" w:noVBand="1" w:val="04A0"/>
      </w:tblPr>
      <w:tblGrid>
        <w:gridCol w:w="4703"/>
        <w:gridCol w:w="4703"/>
      </w:tblGrid>
      <w:tr>
        <w:tc>
          <w:tcPr>
            <w:tcW w:type="dxa" w:w="5669"/>
            <w:shd w:val="clear" w:color="auto" w:fill="D9E2F3"/>
          </w:tcPr>
          <w:p>
            <w:pPr>
              <w:jc w:val="center"/>
            </w:pPr>
            <w:r/>
            <w:r>
              <w:rPr>
                <w:b/>
                <w:sz w:val="18"/>
              </w:rPr>
              <w:t>Concepto</w:t>
            </w:r>
          </w:p>
        </w:tc>
        <w:tc>
          <w:tcPr>
            <w:tcW w:type="dxa" w:w="2268"/>
            <w:shd w:val="clear" w:color="auto" w:fill="D9E2F3"/>
          </w:tcPr>
          <w:p>
            <w:pPr>
              <w:jc w:val="center"/>
            </w:pPr>
            <w:r/>
            <w:r>
              <w:rPr>
                <w:b/>
                <w:sz w:val="18"/>
              </w:rPr>
              <w:t>Área (m²)</w:t>
            </w:r>
          </w:p>
        </w:tc>
      </w:tr>
      <w:tr>
        <w:tc>
          <w:tcPr>
            <w:tcW w:type="dxa" w:w="5669"/>
          </w:tcPr>
          <w:p>
            <w:r/>
            <w:r>
              <w:rPr>
                <w:sz w:val="18"/>
              </w:rPr>
              <w:t>Área del terreno</w:t>
            </w:r>
          </w:p>
        </w:tc>
        <w:tc>
          <w:tcPr>
            <w:tcW w:type="dxa" w:w="2268"/>
          </w:tcPr>
          <w:p>
            <w:pPr>
              <w:jc w:val="right"/>
            </w:pPr>
            <w:r/>
            <w:r>
              <w:rPr>
                <w:sz w:val="18"/>
              </w:rPr>
              <w:t>6,999.98</w:t>
            </w:r>
          </w:p>
        </w:tc>
      </w:tr>
      <w:tr>
        <w:tc>
          <w:tcPr>
            <w:tcW w:type="dxa" w:w="5669"/>
          </w:tcPr>
          <w:p>
            <w:r/>
            <w:r>
              <w:rPr>
                <w:sz w:val="18"/>
              </w:rPr>
              <w:t>Área techada</w:t>
            </w:r>
          </w:p>
        </w:tc>
        <w:tc>
          <w:tcPr>
            <w:tcW w:type="dxa" w:w="2268"/>
          </w:tcPr>
          <w:p>
            <w:pPr>
              <w:jc w:val="right"/>
            </w:pPr>
            <w:r/>
            <w:r>
              <w:rPr>
                <w:sz w:val="18"/>
              </w:rPr>
              <w:t>3,654.58</w:t>
            </w:r>
          </w:p>
        </w:tc>
      </w:tr>
      <w:tr>
        <w:tc>
          <w:tcPr>
            <w:tcW w:type="dxa" w:w="5669"/>
          </w:tcPr>
          <w:p>
            <w:r/>
            <w:r>
              <w:rPr>
                <w:b/>
                <w:sz w:val="18"/>
              </w:rPr>
              <w:t>Área libre</w:t>
            </w:r>
          </w:p>
        </w:tc>
        <w:tc>
          <w:tcPr>
            <w:tcW w:type="dxa" w:w="2268"/>
          </w:tcPr>
          <w:p>
            <w:pPr>
              <w:jc w:val="right"/>
            </w:pPr>
            <w:r/>
            <w:r>
              <w:rPr>
                <w:b/>
                <w:sz w:val="18"/>
              </w:rPr>
              <w:t>3,345.40</w:t>
            </w:r>
          </w:p>
        </w:tc>
      </w:tr>
    </w:tbl>
    <w:p>
      <w:pPr>
        <w:spacing w:after="80"/>
      </w:pPr>
    </w:p>
    <w:p>
      <w:pPr>
        <w:spacing w:after="120"/>
        <w:jc w:val="both"/>
      </w:pPr>
      <w:r>
        <w:rPr>
          <w:b w:val="0"/>
        </w:rPr>
        <w:t>El área techada corresponde a la proyección horizontal de las coberturas de cada edificación; estos valores coinciden con los trece sectores de drenaje de la memoria hidrológica del expediente.</w:t>
      </w:r>
    </w:p>
    <w:p>
      <w:pPr>
        <w:pStyle w:val="Heading2"/>
      </w:pPr>
      <w:r>
        <w:t>8.5 Concordancia con el estudio de preinversión</w:t>
      </w:r>
    </w:p>
    <w:p>
      <w:pPr>
        <w:spacing w:after="120"/>
        <w:jc w:val="both"/>
      </w:pPr>
      <w:r>
        <w:rPr>
          <w:b w:val="0"/>
        </w:rPr>
        <w:t>El estudio de preinversión consideró para la alternativa única un área techada de 4,770.58 m², cifra que incluye 2,391.13 m² de circulaciones del primer piso y 14.42 m² de ingreso, además de los ambientes administrativos, de asistencia técnica especializada, las cuatro unidades residenciales, la losa deportiva techada con tribuna, los servicios higiénicos y vestidores, los almacenes y los ambientes de mantenimiento y vigilancia. El expediente técnico desarrolla estos mismos componentes en diez edificaciones, la losa deportiva y dos guardianías, con 3,654.58 m² techados en edificaciones, y resuelve las circulaciones mediante la circulación central techada y las veredas de concreto descritas en las obras exteriores. La programación arquitectónica mantiene la organización por zonas del perfil (administrativa, de asistencia técnica, residencial, deportiva, de servicios y de vigilancia) y los ambientes mínimos exigidos para los CAR por la normativa del MIMP: cocina, comedor, dormitorios compartidos, servicios higiénicos, lavandería, sala multiusos, ambiente para el personal, ambiente para entrevistas y patio o jardín.</w:t>
      </w:r>
    </w:p>
    <w:p>
      <w:pPr>
        <w:pStyle w:val="Heading2"/>
      </w:pPr>
      <w:r>
        <w:t>8.6 Componente 2: Mobiliario y equipamiento</w:t>
      </w:r>
    </w:p>
    <w:p>
      <w:pPr>
        <w:spacing w:after="120"/>
        <w:jc w:val="both"/>
      </w:pPr>
      <w:r>
        <w:rPr>
          <w:b w:val="0"/>
        </w:rPr>
        <w:t>Comprende la dotación de mobiliario y equipos para los ambientes de gestión administrativa, los ambientes complementarios (residencias, SUM/comedor y cocina) y los ambientes de bienestar y seguridad, de acuerdo con el requerimiento mínimo por ambiente establecido en el estudio de preinversión: 64 equipos y 247 unidades de mobiliario, entre ellos computadoras, impresoras, equipos de aire acondicionado, proyector, escritorios, sillas, armarios, mesas, camas y menaje. El detalle por ambiente se desarrolla en el expediente de equipamiento.</w:t>
      </w:r>
    </w:p>
    <w:p>
      <w:pPr>
        <w:pStyle w:val="Heading2"/>
      </w:pPr>
      <w:r>
        <w:t>8.7 Componente 3: Desarrollo de capacidades</w:t>
      </w:r>
    </w:p>
    <w:p>
      <w:pPr>
        <w:spacing w:after="120"/>
        <w:jc w:val="both"/>
      </w:pPr>
      <w:r>
        <w:rPr>
          <w:b w:val="0"/>
        </w:rPr>
        <w:t>Comprende la asistencia técnica y la capacitación del personal técnico y administrativo que operará el CAR (dirección, equipo técnico de psicología, trabajo social y educación, y personal de atención permanente), para la aplicación del modelo de atención, el Plan de Trabajo Individual de cada residente y la normativa interna de funcionamiento y convivencia.</w:t>
      </w:r>
    </w:p>
    <w:p>
      <w:pPr>
        <w:pStyle w:val="Heading1"/>
      </w:pPr>
      <w:r>
        <w:t>9. METAS FÍSICAS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color="auto" w:fill="D9E2F3"/>
          </w:tcPr>
          <w:p>
            <w:pPr>
              <w:jc w:val="center"/>
            </w:pPr>
            <w:r/>
            <w:r>
              <w:rPr>
                <w:b/>
                <w:sz w:val="18"/>
              </w:rPr>
              <w:t>N.°</w:t>
            </w:r>
          </w:p>
        </w:tc>
        <w:tc>
          <w:tcPr>
            <w:tcW w:type="dxa" w:w="5669"/>
            <w:shd w:val="clear" w:color="auto" w:fill="D9E2F3"/>
          </w:tcPr>
          <w:p>
            <w:pPr>
              <w:jc w:val="center"/>
            </w:pPr>
            <w:r/>
            <w:r>
              <w:rPr>
                <w:b/>
                <w:sz w:val="18"/>
              </w:rPr>
              <w:t>Meta</w:t>
            </w:r>
          </w:p>
        </w:tc>
        <w:tc>
          <w:tcPr>
            <w:tcW w:type="dxa" w:w="1417"/>
            <w:shd w:val="clear" w:color="auto" w:fill="D9E2F3"/>
          </w:tcPr>
          <w:p>
            <w:pPr>
              <w:jc w:val="center"/>
            </w:pPr>
            <w:r/>
            <w:r>
              <w:rPr>
                <w:b/>
                <w:sz w:val="18"/>
              </w:rPr>
              <w:t>Cantidad</w:t>
            </w:r>
          </w:p>
        </w:tc>
        <w:tc>
          <w:tcPr>
            <w:tcW w:type="dxa" w:w="1417"/>
            <w:shd w:val="clear" w:color="auto" w:fill="D9E2F3"/>
          </w:tcPr>
          <w:p>
            <w:pPr>
              <w:jc w:val="center"/>
            </w:pPr>
            <w:r/>
            <w:r>
              <w:rPr>
                <w:b/>
                <w:sz w:val="18"/>
              </w:rPr>
              <w:t>Unidad</w:t>
            </w:r>
          </w:p>
        </w:tc>
      </w:tr>
      <w:tr>
        <w:tc>
          <w:tcPr>
            <w:tcW w:type="dxa" w:w="567"/>
          </w:tcPr>
          <w:p>
            <w:r/>
            <w:r>
              <w:rPr>
                <w:sz w:val="18"/>
              </w:rPr>
              <w:t>1</w:t>
            </w:r>
          </w:p>
        </w:tc>
        <w:tc>
          <w:tcPr>
            <w:tcW w:type="dxa" w:w="5669"/>
          </w:tcPr>
          <w:p>
            <w:r/>
            <w:r>
              <w:rPr>
                <w:sz w:val="18"/>
              </w:rPr>
              <w:t>Construcción de la Edificación 01 - Administración (un nivel)</w:t>
            </w:r>
          </w:p>
        </w:tc>
        <w:tc>
          <w:tcPr>
            <w:tcW w:type="dxa" w:w="1417"/>
          </w:tcPr>
          <w:p>
            <w:pPr>
              <w:jc w:val="right"/>
            </w:pPr>
            <w:r/>
            <w:r>
              <w:rPr>
                <w:sz w:val="18"/>
              </w:rPr>
              <w:t>302.40</w:t>
            </w:r>
          </w:p>
        </w:tc>
        <w:tc>
          <w:tcPr>
            <w:tcW w:type="dxa" w:w="1417"/>
          </w:tcPr>
          <w:p>
            <w:r/>
            <w:r>
              <w:rPr>
                <w:sz w:val="18"/>
              </w:rPr>
              <w:t>m² techados</w:t>
            </w:r>
          </w:p>
        </w:tc>
      </w:tr>
      <w:tr>
        <w:tc>
          <w:tcPr>
            <w:tcW w:type="dxa" w:w="567"/>
          </w:tcPr>
          <w:p>
            <w:r/>
            <w:r>
              <w:rPr>
                <w:sz w:val="18"/>
              </w:rPr>
              <w:t>2</w:t>
            </w:r>
          </w:p>
        </w:tc>
        <w:tc>
          <w:tcPr>
            <w:tcW w:type="dxa" w:w="5669"/>
          </w:tcPr>
          <w:p>
            <w:r/>
            <w:r>
              <w:rPr>
                <w:sz w:val="18"/>
              </w:rPr>
              <w:t>Construcción de la Edificación 02 - Servicios higiénicos públicos</w:t>
            </w:r>
          </w:p>
        </w:tc>
        <w:tc>
          <w:tcPr>
            <w:tcW w:type="dxa" w:w="1417"/>
          </w:tcPr>
          <w:p>
            <w:pPr>
              <w:jc w:val="right"/>
            </w:pPr>
            <w:r/>
            <w:r>
              <w:rPr>
                <w:sz w:val="18"/>
              </w:rPr>
              <w:t>97.93</w:t>
            </w:r>
          </w:p>
        </w:tc>
        <w:tc>
          <w:tcPr>
            <w:tcW w:type="dxa" w:w="1417"/>
          </w:tcPr>
          <w:p>
            <w:r/>
            <w:r>
              <w:rPr>
                <w:sz w:val="18"/>
              </w:rPr>
              <w:t>m² techados</w:t>
            </w:r>
          </w:p>
        </w:tc>
      </w:tr>
      <w:tr>
        <w:tc>
          <w:tcPr>
            <w:tcW w:type="dxa" w:w="567"/>
          </w:tcPr>
          <w:p>
            <w:r/>
            <w:r>
              <w:rPr>
                <w:sz w:val="18"/>
              </w:rPr>
              <w:t>3</w:t>
            </w:r>
          </w:p>
        </w:tc>
        <w:tc>
          <w:tcPr>
            <w:tcW w:type="dxa" w:w="5669"/>
          </w:tcPr>
          <w:p>
            <w:r/>
            <w:r>
              <w:rPr>
                <w:sz w:val="18"/>
              </w:rPr>
              <w:t>Construcción de cuatro residencias de un nivel (Edificaciones 03, 04, 07 y 08)</w:t>
            </w:r>
          </w:p>
        </w:tc>
        <w:tc>
          <w:tcPr>
            <w:tcW w:type="dxa" w:w="1417"/>
          </w:tcPr>
          <w:p>
            <w:pPr>
              <w:jc w:val="right"/>
            </w:pPr>
            <w:r/>
            <w:r>
              <w:rPr>
                <w:sz w:val="18"/>
              </w:rPr>
              <w:t>1,490.89</w:t>
            </w:r>
          </w:p>
        </w:tc>
        <w:tc>
          <w:tcPr>
            <w:tcW w:type="dxa" w:w="1417"/>
          </w:tcPr>
          <w:p>
            <w:r/>
            <w:r>
              <w:rPr>
                <w:sz w:val="18"/>
              </w:rPr>
              <w:t>m² techados</w:t>
            </w:r>
          </w:p>
        </w:tc>
      </w:tr>
      <w:tr>
        <w:tc>
          <w:tcPr>
            <w:tcW w:type="dxa" w:w="567"/>
          </w:tcPr>
          <w:p>
            <w:r/>
            <w:r>
              <w:rPr>
                <w:sz w:val="18"/>
              </w:rPr>
              <w:t>4</w:t>
            </w:r>
          </w:p>
        </w:tc>
        <w:tc>
          <w:tcPr>
            <w:tcW w:type="dxa" w:w="5669"/>
          </w:tcPr>
          <w:p>
            <w:r/>
            <w:r>
              <w:rPr>
                <w:sz w:val="18"/>
              </w:rPr>
              <w:t>Construcción de la Edificación 05 - Residencia de mamás sustitutas</w:t>
            </w:r>
          </w:p>
        </w:tc>
        <w:tc>
          <w:tcPr>
            <w:tcW w:type="dxa" w:w="1417"/>
          </w:tcPr>
          <w:p>
            <w:pPr>
              <w:jc w:val="right"/>
            </w:pPr>
            <w:r/>
            <w:r>
              <w:rPr>
                <w:sz w:val="18"/>
              </w:rPr>
              <w:t>117.96</w:t>
            </w:r>
          </w:p>
        </w:tc>
        <w:tc>
          <w:tcPr>
            <w:tcW w:type="dxa" w:w="1417"/>
          </w:tcPr>
          <w:p>
            <w:r/>
            <w:r>
              <w:rPr>
                <w:sz w:val="18"/>
              </w:rPr>
              <w:t>m² techados</w:t>
            </w:r>
          </w:p>
        </w:tc>
      </w:tr>
      <w:tr>
        <w:tc>
          <w:tcPr>
            <w:tcW w:type="dxa" w:w="567"/>
          </w:tcPr>
          <w:p>
            <w:r/>
            <w:r>
              <w:rPr>
                <w:sz w:val="18"/>
              </w:rPr>
              <w:t>5</w:t>
            </w:r>
          </w:p>
        </w:tc>
        <w:tc>
          <w:tcPr>
            <w:tcW w:type="dxa" w:w="5669"/>
          </w:tcPr>
          <w:p>
            <w:r/>
            <w:r>
              <w:rPr>
                <w:sz w:val="18"/>
              </w:rPr>
              <w:t>Construcción de la Edificación 06 - Servicios higiénicos y vestidores</w:t>
            </w:r>
          </w:p>
        </w:tc>
        <w:tc>
          <w:tcPr>
            <w:tcW w:type="dxa" w:w="1417"/>
          </w:tcPr>
          <w:p>
            <w:pPr>
              <w:jc w:val="right"/>
            </w:pPr>
            <w:r/>
            <w:r>
              <w:rPr>
                <w:sz w:val="18"/>
              </w:rPr>
              <w:t>151.08</w:t>
            </w:r>
          </w:p>
        </w:tc>
        <w:tc>
          <w:tcPr>
            <w:tcW w:type="dxa" w:w="1417"/>
          </w:tcPr>
          <w:p>
            <w:r/>
            <w:r>
              <w:rPr>
                <w:sz w:val="18"/>
              </w:rPr>
              <w:t>m² techados</w:t>
            </w:r>
          </w:p>
        </w:tc>
      </w:tr>
      <w:tr>
        <w:tc>
          <w:tcPr>
            <w:tcW w:type="dxa" w:w="567"/>
          </w:tcPr>
          <w:p>
            <w:r/>
            <w:r>
              <w:rPr>
                <w:sz w:val="18"/>
              </w:rPr>
              <w:t>6</w:t>
            </w:r>
          </w:p>
        </w:tc>
        <w:tc>
          <w:tcPr>
            <w:tcW w:type="dxa" w:w="5669"/>
          </w:tcPr>
          <w:p>
            <w:r/>
            <w:r>
              <w:rPr>
                <w:sz w:val="18"/>
              </w:rPr>
              <w:t>Construcción de la Edificación 09 - SUM/comedor y cocina</w:t>
            </w:r>
          </w:p>
        </w:tc>
        <w:tc>
          <w:tcPr>
            <w:tcW w:type="dxa" w:w="1417"/>
          </w:tcPr>
          <w:p>
            <w:pPr>
              <w:jc w:val="right"/>
            </w:pPr>
            <w:r/>
            <w:r>
              <w:rPr>
                <w:sz w:val="18"/>
              </w:rPr>
              <w:t>478.96</w:t>
            </w:r>
          </w:p>
        </w:tc>
        <w:tc>
          <w:tcPr>
            <w:tcW w:type="dxa" w:w="1417"/>
          </w:tcPr>
          <w:p>
            <w:r/>
            <w:r>
              <w:rPr>
                <w:sz w:val="18"/>
              </w:rPr>
              <w:t>m² techados</w:t>
            </w:r>
          </w:p>
        </w:tc>
      </w:tr>
      <w:tr>
        <w:tc>
          <w:tcPr>
            <w:tcW w:type="dxa" w:w="567"/>
          </w:tcPr>
          <w:p>
            <w:r/>
            <w:r>
              <w:rPr>
                <w:sz w:val="18"/>
              </w:rPr>
              <w:t>7</w:t>
            </w:r>
          </w:p>
        </w:tc>
        <w:tc>
          <w:tcPr>
            <w:tcW w:type="dxa" w:w="5669"/>
          </w:tcPr>
          <w:p>
            <w:r/>
            <w:r>
              <w:rPr>
                <w:sz w:val="18"/>
              </w:rPr>
              <w:t>Construcción de la Edificación 10 - Servicios generales</w:t>
            </w:r>
          </w:p>
        </w:tc>
        <w:tc>
          <w:tcPr>
            <w:tcW w:type="dxa" w:w="1417"/>
          </w:tcPr>
          <w:p>
            <w:pPr>
              <w:jc w:val="right"/>
            </w:pPr>
            <w:r/>
            <w:r>
              <w:rPr>
                <w:sz w:val="18"/>
              </w:rPr>
              <w:t>86.11</w:t>
            </w:r>
          </w:p>
        </w:tc>
        <w:tc>
          <w:tcPr>
            <w:tcW w:type="dxa" w:w="1417"/>
          </w:tcPr>
          <w:p>
            <w:r/>
            <w:r>
              <w:rPr>
                <w:sz w:val="18"/>
              </w:rPr>
              <w:t>m² techados</w:t>
            </w:r>
          </w:p>
        </w:tc>
      </w:tr>
      <w:tr>
        <w:tc>
          <w:tcPr>
            <w:tcW w:type="dxa" w:w="567"/>
          </w:tcPr>
          <w:p>
            <w:r/>
            <w:r>
              <w:rPr>
                <w:sz w:val="18"/>
              </w:rPr>
              <w:t>8</w:t>
            </w:r>
          </w:p>
        </w:tc>
        <w:tc>
          <w:tcPr>
            <w:tcW w:type="dxa" w:w="5669"/>
          </w:tcPr>
          <w:p>
            <w:r/>
            <w:r>
              <w:rPr>
                <w:sz w:val="18"/>
              </w:rPr>
              <w:t>Construcción de la losa deportiva con cobertura metálica autosoportada</w:t>
            </w:r>
          </w:p>
        </w:tc>
        <w:tc>
          <w:tcPr>
            <w:tcW w:type="dxa" w:w="1417"/>
          </w:tcPr>
          <w:p>
            <w:pPr>
              <w:jc w:val="right"/>
            </w:pPr>
            <w:r/>
            <w:r>
              <w:rPr>
                <w:sz w:val="18"/>
              </w:rPr>
              <w:t>828.91</w:t>
            </w:r>
          </w:p>
        </w:tc>
        <w:tc>
          <w:tcPr>
            <w:tcW w:type="dxa" w:w="1417"/>
          </w:tcPr>
          <w:p>
            <w:r/>
            <w:r>
              <w:rPr>
                <w:sz w:val="18"/>
              </w:rPr>
              <w:t>m² techados</w:t>
            </w:r>
          </w:p>
        </w:tc>
      </w:tr>
      <w:tr>
        <w:tc>
          <w:tcPr>
            <w:tcW w:type="dxa" w:w="567"/>
          </w:tcPr>
          <w:p>
            <w:r/>
            <w:r>
              <w:rPr>
                <w:sz w:val="18"/>
              </w:rPr>
              <w:t>9</w:t>
            </w:r>
          </w:p>
        </w:tc>
        <w:tc>
          <w:tcPr>
            <w:tcW w:type="dxa" w:w="5669"/>
          </w:tcPr>
          <w:p>
            <w:r/>
            <w:r>
              <w:rPr>
                <w:sz w:val="18"/>
              </w:rPr>
              <w:t>Construcción de dos guardianías (ingreso principal y secundario)</w:t>
            </w:r>
          </w:p>
        </w:tc>
        <w:tc>
          <w:tcPr>
            <w:tcW w:type="dxa" w:w="1417"/>
          </w:tcPr>
          <w:p>
            <w:pPr>
              <w:jc w:val="right"/>
            </w:pPr>
            <w:r/>
            <w:r>
              <w:rPr>
                <w:sz w:val="18"/>
              </w:rPr>
              <w:t>100.34</w:t>
            </w:r>
          </w:p>
        </w:tc>
        <w:tc>
          <w:tcPr>
            <w:tcW w:type="dxa" w:w="1417"/>
          </w:tcPr>
          <w:p>
            <w:r/>
            <w:r>
              <w:rPr>
                <w:sz w:val="18"/>
              </w:rPr>
              <w:t>m² techados</w:t>
            </w:r>
          </w:p>
        </w:tc>
      </w:tr>
      <w:tr>
        <w:tc>
          <w:tcPr>
            <w:tcW w:type="dxa" w:w="567"/>
          </w:tcPr>
          <w:p>
            <w:r/>
            <w:r>
              <w:rPr>
                <w:sz w:val="18"/>
              </w:rPr>
              <w:t>10</w:t>
            </w:r>
          </w:p>
        </w:tc>
        <w:tc>
          <w:tcPr>
            <w:tcW w:type="dxa" w:w="5669"/>
          </w:tcPr>
          <w:p>
            <w:r/>
            <w:r>
              <w:rPr>
                <w:sz w:val="18"/>
              </w:rPr>
              <w:t>Veredas y circulaciones exteriores de concreto</w:t>
            </w:r>
          </w:p>
        </w:tc>
        <w:tc>
          <w:tcPr>
            <w:tcW w:type="dxa" w:w="1417"/>
          </w:tcPr>
          <w:p>
            <w:pPr>
              <w:jc w:val="right"/>
            </w:pPr>
            <w:r/>
            <w:r>
              <w:rPr>
                <w:sz w:val="18"/>
              </w:rPr>
              <w:t>816.87</w:t>
            </w:r>
          </w:p>
        </w:tc>
        <w:tc>
          <w:tcPr>
            <w:tcW w:type="dxa" w:w="1417"/>
          </w:tcPr>
          <w:p>
            <w:r/>
            <w:r>
              <w:rPr>
                <w:sz w:val="18"/>
              </w:rPr>
              <w:t>m²</w:t>
            </w:r>
          </w:p>
        </w:tc>
      </w:tr>
      <w:tr>
        <w:tc>
          <w:tcPr>
            <w:tcW w:type="dxa" w:w="567"/>
          </w:tcPr>
          <w:p>
            <w:r/>
            <w:r>
              <w:rPr>
                <w:sz w:val="18"/>
              </w:rPr>
              <w:t>11</w:t>
            </w:r>
          </w:p>
        </w:tc>
        <w:tc>
          <w:tcPr>
            <w:tcW w:type="dxa" w:w="5669"/>
          </w:tcPr>
          <w:p>
            <w:r/>
            <w:r>
              <w:rPr>
                <w:sz w:val="18"/>
              </w:rPr>
              <w:t>Estacionamientos y patio de maniobras pavimentados</w:t>
            </w:r>
          </w:p>
        </w:tc>
        <w:tc>
          <w:tcPr>
            <w:tcW w:type="dxa" w:w="1417"/>
          </w:tcPr>
          <w:p>
            <w:pPr>
              <w:jc w:val="right"/>
            </w:pPr>
            <w:r/>
            <w:r>
              <w:rPr>
                <w:sz w:val="18"/>
              </w:rPr>
              <w:t>812.65</w:t>
            </w:r>
          </w:p>
        </w:tc>
        <w:tc>
          <w:tcPr>
            <w:tcW w:type="dxa" w:w="1417"/>
          </w:tcPr>
          <w:p>
            <w:r/>
            <w:r>
              <w:rPr>
                <w:sz w:val="18"/>
              </w:rPr>
              <w:t>m²</w:t>
            </w:r>
          </w:p>
        </w:tc>
      </w:tr>
      <w:tr>
        <w:tc>
          <w:tcPr>
            <w:tcW w:type="dxa" w:w="567"/>
          </w:tcPr>
          <w:p>
            <w:r/>
            <w:r>
              <w:rPr>
                <w:sz w:val="18"/>
              </w:rPr>
              <w:t>12</w:t>
            </w:r>
          </w:p>
        </w:tc>
        <w:tc>
          <w:tcPr>
            <w:tcW w:type="dxa" w:w="5669"/>
          </w:tcPr>
          <w:p>
            <w:r/>
            <w:r>
              <w:rPr>
                <w:sz w:val="18"/>
              </w:rPr>
              <w:t>Patio de juegos</w:t>
            </w:r>
          </w:p>
        </w:tc>
        <w:tc>
          <w:tcPr>
            <w:tcW w:type="dxa" w:w="1417"/>
          </w:tcPr>
          <w:p>
            <w:pPr>
              <w:jc w:val="right"/>
            </w:pPr>
            <w:r/>
            <w:r>
              <w:rPr>
                <w:sz w:val="18"/>
              </w:rPr>
              <w:t>201.33</w:t>
            </w:r>
          </w:p>
        </w:tc>
        <w:tc>
          <w:tcPr>
            <w:tcW w:type="dxa" w:w="1417"/>
          </w:tcPr>
          <w:p>
            <w:r/>
            <w:r>
              <w:rPr>
                <w:sz w:val="18"/>
              </w:rPr>
              <w:t>m²</w:t>
            </w:r>
          </w:p>
        </w:tc>
      </w:tr>
      <w:tr>
        <w:tc>
          <w:tcPr>
            <w:tcW w:type="dxa" w:w="567"/>
          </w:tcPr>
          <w:p>
            <w:r/>
            <w:r>
              <w:rPr>
                <w:sz w:val="18"/>
              </w:rPr>
              <w:t>13</w:t>
            </w:r>
          </w:p>
        </w:tc>
        <w:tc>
          <w:tcPr>
            <w:tcW w:type="dxa" w:w="5669"/>
          </w:tcPr>
          <w:p>
            <w:r/>
            <w:r>
              <w:rPr>
                <w:sz w:val="18"/>
              </w:rPr>
              <w:t>Áreas verdes y arborización</w:t>
            </w:r>
          </w:p>
        </w:tc>
        <w:tc>
          <w:tcPr>
            <w:tcW w:type="dxa" w:w="1417"/>
          </w:tcPr>
          <w:p>
            <w:pPr>
              <w:jc w:val="right"/>
            </w:pPr>
            <w:r/>
            <w:r>
              <w:rPr>
                <w:sz w:val="18"/>
              </w:rPr>
              <w:t>2,206.56</w:t>
            </w:r>
          </w:p>
        </w:tc>
        <w:tc>
          <w:tcPr>
            <w:tcW w:type="dxa" w:w="1417"/>
          </w:tcPr>
          <w:p>
            <w:r/>
            <w:r>
              <w:rPr>
                <w:sz w:val="18"/>
              </w:rPr>
              <w:t>m²</w:t>
            </w:r>
          </w:p>
        </w:tc>
      </w:tr>
      <w:tr>
        <w:tc>
          <w:tcPr>
            <w:tcW w:type="dxa" w:w="567"/>
          </w:tcPr>
          <w:p>
            <w:r/>
            <w:r>
              <w:rPr>
                <w:sz w:val="18"/>
              </w:rPr>
              <w:t>14</w:t>
            </w:r>
          </w:p>
        </w:tc>
        <w:tc>
          <w:tcPr>
            <w:tcW w:type="dxa" w:w="5669"/>
          </w:tcPr>
          <w:p>
            <w:r/>
            <w:r>
              <w:rPr>
                <w:sz w:val="18"/>
              </w:rPr>
              <w:t>Cerco perimétrico y portadas de ingreso</w:t>
            </w:r>
          </w:p>
        </w:tc>
        <w:tc>
          <w:tcPr>
            <w:tcW w:type="dxa" w:w="1417"/>
          </w:tcPr>
          <w:p>
            <w:r/>
            <w:r>
              <w:rPr>
                <w:sz w:val="18"/>
              </w:rPr>
              <w:t>1</w:t>
            </w:r>
          </w:p>
        </w:tc>
        <w:tc>
          <w:tcPr>
            <w:tcW w:type="dxa" w:w="1417"/>
          </w:tcPr>
          <w:p>
            <w:r/>
            <w:r>
              <w:rPr>
                <w:sz w:val="18"/>
              </w:rPr>
              <w:t>glb</w:t>
            </w:r>
          </w:p>
        </w:tc>
      </w:tr>
      <w:tr>
        <w:tc>
          <w:tcPr>
            <w:tcW w:type="dxa" w:w="567"/>
          </w:tcPr>
          <w:p>
            <w:r/>
            <w:r>
              <w:rPr>
                <w:sz w:val="18"/>
              </w:rPr>
              <w:t>15</w:t>
            </w:r>
          </w:p>
        </w:tc>
        <w:tc>
          <w:tcPr>
            <w:tcW w:type="dxa" w:w="5669"/>
          </w:tcPr>
          <w:p>
            <w:r/>
            <w:r>
              <w:rPr>
                <w:sz w:val="18"/>
              </w:rPr>
              <w:t>Instalaciones sanitarias interiores y exteriores, con pozo séptico</w:t>
            </w:r>
          </w:p>
        </w:tc>
        <w:tc>
          <w:tcPr>
            <w:tcW w:type="dxa" w:w="1417"/>
          </w:tcPr>
          <w:p>
            <w:r/>
            <w:r>
              <w:rPr>
                <w:sz w:val="18"/>
              </w:rPr>
              <w:t>1</w:t>
            </w:r>
          </w:p>
        </w:tc>
        <w:tc>
          <w:tcPr>
            <w:tcW w:type="dxa" w:w="1417"/>
          </w:tcPr>
          <w:p>
            <w:r/>
            <w:r>
              <w:rPr>
                <w:sz w:val="18"/>
              </w:rPr>
              <w:t>glb</w:t>
            </w:r>
          </w:p>
        </w:tc>
      </w:tr>
      <w:tr>
        <w:tc>
          <w:tcPr>
            <w:tcW w:type="dxa" w:w="567"/>
          </w:tcPr>
          <w:p>
            <w:r/>
            <w:r>
              <w:rPr>
                <w:sz w:val="18"/>
              </w:rPr>
              <w:t>16</w:t>
            </w:r>
          </w:p>
        </w:tc>
        <w:tc>
          <w:tcPr>
            <w:tcW w:type="dxa" w:w="5669"/>
          </w:tcPr>
          <w:p>
            <w:r/>
            <w:r>
              <w:rPr>
                <w:sz w:val="18"/>
              </w:rPr>
              <w:t>Instalaciones eléctricas interiores y exteriores</w:t>
            </w:r>
          </w:p>
        </w:tc>
        <w:tc>
          <w:tcPr>
            <w:tcW w:type="dxa" w:w="1417"/>
          </w:tcPr>
          <w:p>
            <w:r/>
            <w:r>
              <w:rPr>
                <w:sz w:val="18"/>
              </w:rPr>
              <w:t>1</w:t>
            </w:r>
          </w:p>
        </w:tc>
        <w:tc>
          <w:tcPr>
            <w:tcW w:type="dxa" w:w="1417"/>
          </w:tcPr>
          <w:p>
            <w:r/>
            <w:r>
              <w:rPr>
                <w:sz w:val="18"/>
              </w:rPr>
              <w:t>glb</w:t>
            </w:r>
          </w:p>
        </w:tc>
      </w:tr>
      <w:tr>
        <w:tc>
          <w:tcPr>
            <w:tcW w:type="dxa" w:w="567"/>
          </w:tcPr>
          <w:p>
            <w:r/>
            <w:r>
              <w:rPr>
                <w:sz w:val="18"/>
              </w:rPr>
              <w:t>17</w:t>
            </w:r>
          </w:p>
        </w:tc>
        <w:tc>
          <w:tcPr>
            <w:tcW w:type="dxa" w:w="5669"/>
          </w:tcPr>
          <w:p>
            <w:r/>
            <w:r>
              <w:rPr>
                <w:sz w:val="18"/>
              </w:rPr>
              <w:t>Sistema de drenaje pluvial: canaletas, montantes y cunetas de piso en trece sectores</w:t>
            </w:r>
          </w:p>
        </w:tc>
        <w:tc>
          <w:tcPr>
            <w:tcW w:type="dxa" w:w="1417"/>
          </w:tcPr>
          <w:p>
            <w:r/>
            <w:r>
              <w:rPr>
                <w:sz w:val="18"/>
              </w:rPr>
              <w:t>1</w:t>
            </w:r>
          </w:p>
        </w:tc>
        <w:tc>
          <w:tcPr>
            <w:tcW w:type="dxa" w:w="1417"/>
          </w:tcPr>
          <w:p>
            <w:r/>
            <w:r>
              <w:rPr>
                <w:sz w:val="18"/>
              </w:rPr>
              <w:t>glb</w:t>
            </w:r>
          </w:p>
        </w:tc>
      </w:tr>
      <w:tr>
        <w:tc>
          <w:tcPr>
            <w:tcW w:type="dxa" w:w="567"/>
          </w:tcPr>
          <w:p>
            <w:r/>
            <w:r>
              <w:rPr>
                <w:sz w:val="18"/>
              </w:rPr>
              <w:t>18</w:t>
            </w:r>
          </w:p>
        </w:tc>
        <w:tc>
          <w:tcPr>
            <w:tcW w:type="dxa" w:w="5669"/>
          </w:tcPr>
          <w:p>
            <w:r/>
            <w:r>
              <w:rPr>
                <w:sz w:val="18"/>
              </w:rPr>
              <w:t>Colector pluvial frontal de concreto armado y estructura de salida</w:t>
            </w:r>
          </w:p>
        </w:tc>
        <w:tc>
          <w:tcPr>
            <w:tcW w:type="dxa" w:w="1417"/>
          </w:tcPr>
          <w:p>
            <w:r/>
            <w:r>
              <w:rPr>
                <w:sz w:val="18"/>
              </w:rPr>
              <w:t>1</w:t>
            </w:r>
          </w:p>
        </w:tc>
        <w:tc>
          <w:tcPr>
            <w:tcW w:type="dxa" w:w="1417"/>
          </w:tcPr>
          <w:p>
            <w:r/>
            <w:r>
              <w:rPr>
                <w:sz w:val="18"/>
              </w:rPr>
              <w:t>glb</w:t>
            </w:r>
          </w:p>
        </w:tc>
      </w:tr>
      <w:tr>
        <w:tc>
          <w:tcPr>
            <w:tcW w:type="dxa" w:w="567"/>
          </w:tcPr>
          <w:p>
            <w:r/>
            <w:r>
              <w:rPr>
                <w:sz w:val="18"/>
              </w:rPr>
              <w:t>19</w:t>
            </w:r>
          </w:p>
        </w:tc>
        <w:tc>
          <w:tcPr>
            <w:tcW w:type="dxa" w:w="5669"/>
          </w:tcPr>
          <w:p>
            <w:r/>
            <w:r>
              <w:rPr>
                <w:sz w:val="18"/>
              </w:rPr>
              <w:t>Mobiliario y equipamiento (64 equipos y 247 unidades de mobiliario)</w:t>
            </w:r>
          </w:p>
        </w:tc>
        <w:tc>
          <w:tcPr>
            <w:tcW w:type="dxa" w:w="1417"/>
          </w:tcPr>
          <w:p>
            <w:r/>
            <w:r>
              <w:rPr>
                <w:sz w:val="18"/>
              </w:rPr>
              <w:t>1</w:t>
            </w:r>
          </w:p>
        </w:tc>
        <w:tc>
          <w:tcPr>
            <w:tcW w:type="dxa" w:w="1417"/>
          </w:tcPr>
          <w:p>
            <w:r/>
            <w:r>
              <w:rPr>
                <w:sz w:val="18"/>
              </w:rPr>
              <w:t>glb</w:t>
            </w:r>
          </w:p>
        </w:tc>
      </w:tr>
      <w:tr>
        <w:tc>
          <w:tcPr>
            <w:tcW w:type="dxa" w:w="567"/>
          </w:tcPr>
          <w:p>
            <w:r/>
            <w:r>
              <w:rPr>
                <w:sz w:val="18"/>
              </w:rPr>
              <w:t>20</w:t>
            </w:r>
          </w:p>
        </w:tc>
        <w:tc>
          <w:tcPr>
            <w:tcW w:type="dxa" w:w="5669"/>
          </w:tcPr>
          <w:p>
            <w:r/>
            <w:r>
              <w:rPr>
                <w:sz w:val="18"/>
              </w:rPr>
              <w:t>Capacitación y asistencia técnica al personal del CAR</w:t>
            </w:r>
          </w:p>
        </w:tc>
        <w:tc>
          <w:tcPr>
            <w:tcW w:type="dxa" w:w="1417"/>
          </w:tcPr>
          <w:p>
            <w:r/>
            <w:r>
              <w:rPr>
                <w:sz w:val="18"/>
              </w:rPr>
              <w:t>1</w:t>
            </w:r>
          </w:p>
        </w:tc>
        <w:tc>
          <w:tcPr>
            <w:tcW w:type="dxa" w:w="1417"/>
          </w:tcPr>
          <w:p>
            <w:r/>
            <w:r>
              <w:rPr>
                <w:sz w:val="18"/>
              </w:rPr>
              <w:t>glb</w:t>
            </w:r>
          </w:p>
        </w:tc>
      </w:tr>
    </w:tbl>
    <w:p>
      <w:pPr>
        <w:spacing w:after="80"/>
      </w:pPr>
    </w:p>
    <w:p>
      <w:pPr>
        <w:spacing w:after="120"/>
        <w:jc w:val="both"/>
      </w:pPr>
      <w:r>
        <w:rPr>
          <w:b w:val="0"/>
        </w:rPr>
        <w:t>Total de área techada por construir: 3,654.58 m², en un solo nivel.</w:t>
      </w:r>
    </w:p>
    <w:p>
      <w:pPr>
        <w:pStyle w:val="Heading1"/>
      </w:pPr>
      <w:r>
        <w:t>10. PLAZO DE EJECUCIÓN</w:t>
      </w:r>
    </w:p>
    <w:p>
      <w:pPr>
        <w:spacing w:after="120"/>
        <w:jc w:val="both"/>
      </w:pPr>
      <w:r>
        <w:rPr>
          <w:b w:val="0"/>
        </w:rPr>
        <w:t>El estudio de preinversión programó la fase de inversión en un (01) mes para el proceso de selección del expediente técnico, dos (02) meses para su elaboración y aprobación, un (01) mes para el proceso de selección de la ejecución y doce (12) meses para la ejecución física de la obra y la implementación del equipamiento. El plazo de ejecución de obra del presente expediente técnico se sustenta en el cronograma de ejecución (diagrama Gantt y PERT-CPM) y en el cronograma valorizado que forman parte del expediente.</w:t>
      </w:r>
    </w:p>
    <w:p>
      <w:pPr>
        <w:pStyle w:val="Heading1"/>
      </w:pPr>
      <w:r>
        <w:t>11. INVERSIÓN</w:t>
      </w:r>
    </w:p>
    <w:p>
      <w:pPr>
        <w:spacing w:after="120"/>
        <w:jc w:val="both"/>
      </w:pPr>
      <w:r>
        <w:rPr>
          <w:b w:val="0"/>
        </w:rPr>
        <w:t>El monto de inversión de la alternativa única declarada viable a precios de mercado, incluido el control concurrente, es de S/ 10,097,042.70, con la siguiente estructura:</w:t>
      </w:r>
    </w:p>
    <w:tbl>
      <w:tblPr>
        <w:tblStyle w:val="TableGrid"/>
        <w:tblW w:type="auto" w:w="0"/>
        <w:jc w:val="center"/>
        <w:tblLook w:firstColumn="1" w:firstRow="1" w:lastColumn="0" w:lastRow="0" w:noHBand="0" w:noVBand="1" w:val="04A0"/>
      </w:tblPr>
      <w:tblGrid>
        <w:gridCol w:w="4703"/>
        <w:gridCol w:w="4703"/>
      </w:tblGrid>
      <w:tr>
        <w:tc>
          <w:tcPr>
            <w:tcW w:type="dxa" w:w="6236"/>
            <w:shd w:val="clear" w:color="auto" w:fill="D9E2F3"/>
          </w:tcPr>
          <w:p>
            <w:pPr>
              <w:jc w:val="center"/>
            </w:pPr>
            <w:r/>
            <w:r>
              <w:rPr>
                <w:b/>
                <w:sz w:val="18"/>
              </w:rPr>
              <w:t>Componente</w:t>
            </w:r>
          </w:p>
        </w:tc>
        <w:tc>
          <w:tcPr>
            <w:tcW w:type="dxa" w:w="2551"/>
            <w:shd w:val="clear" w:color="auto" w:fill="D9E2F3"/>
          </w:tcPr>
          <w:p>
            <w:pPr>
              <w:jc w:val="center"/>
            </w:pPr>
            <w:r/>
            <w:r>
              <w:rPr>
                <w:b/>
                <w:sz w:val="18"/>
              </w:rPr>
              <w:t>Monto (S/)</w:t>
            </w:r>
          </w:p>
        </w:tc>
      </w:tr>
      <w:tr>
        <w:tc>
          <w:tcPr>
            <w:tcW w:type="dxa" w:w="6236"/>
          </w:tcPr>
          <w:p>
            <w:r/>
            <w:r>
              <w:rPr>
                <w:sz w:val="18"/>
              </w:rPr>
              <w:t>Infraestructura: costo directo</w:t>
            </w:r>
          </w:p>
        </w:tc>
        <w:tc>
          <w:tcPr>
            <w:tcW w:type="dxa" w:w="2551"/>
          </w:tcPr>
          <w:p>
            <w:pPr>
              <w:jc w:val="right"/>
            </w:pPr>
            <w:r/>
            <w:r>
              <w:rPr>
                <w:sz w:val="18"/>
              </w:rPr>
              <w:t>6,639,138.63</w:t>
            </w:r>
          </w:p>
        </w:tc>
      </w:tr>
      <w:tr>
        <w:tc>
          <w:tcPr>
            <w:tcW w:type="dxa" w:w="6236"/>
          </w:tcPr>
          <w:p>
            <w:r/>
            <w:r>
              <w:rPr>
                <w:sz w:val="18"/>
              </w:rPr>
              <w:t>Gastos generales (9.17 %)</w:t>
            </w:r>
          </w:p>
        </w:tc>
        <w:tc>
          <w:tcPr>
            <w:tcW w:type="dxa" w:w="2551"/>
          </w:tcPr>
          <w:p>
            <w:pPr>
              <w:jc w:val="right"/>
            </w:pPr>
            <w:r/>
            <w:r>
              <w:rPr>
                <w:sz w:val="18"/>
              </w:rPr>
              <w:t>608,498.03</w:t>
            </w:r>
          </w:p>
        </w:tc>
      </w:tr>
      <w:tr>
        <w:tc>
          <w:tcPr>
            <w:tcW w:type="dxa" w:w="6236"/>
          </w:tcPr>
          <w:p>
            <w:r/>
            <w:r>
              <w:rPr>
                <w:sz w:val="18"/>
              </w:rPr>
              <w:t>Utilidad (5.00 %)</w:t>
            </w:r>
          </w:p>
        </w:tc>
        <w:tc>
          <w:tcPr>
            <w:tcW w:type="dxa" w:w="2551"/>
          </w:tcPr>
          <w:p>
            <w:pPr>
              <w:jc w:val="right"/>
            </w:pPr>
            <w:r/>
            <w:r>
              <w:rPr>
                <w:sz w:val="18"/>
              </w:rPr>
              <w:t>331,956.93</w:t>
            </w:r>
          </w:p>
        </w:tc>
      </w:tr>
      <w:tr>
        <w:tc>
          <w:tcPr>
            <w:tcW w:type="dxa" w:w="6236"/>
          </w:tcPr>
          <w:p>
            <w:r/>
            <w:r>
              <w:rPr>
                <w:sz w:val="18"/>
              </w:rPr>
              <w:t>IGV (18 %)</w:t>
            </w:r>
          </w:p>
        </w:tc>
        <w:tc>
          <w:tcPr>
            <w:tcW w:type="dxa" w:w="2551"/>
          </w:tcPr>
          <w:p>
            <w:pPr>
              <w:jc w:val="right"/>
            </w:pPr>
            <w:r/>
            <w:r>
              <w:rPr>
                <w:sz w:val="18"/>
              </w:rPr>
              <w:t>1,364,326.85</w:t>
            </w:r>
          </w:p>
        </w:tc>
      </w:tr>
      <w:tr>
        <w:tc>
          <w:tcPr>
            <w:tcW w:type="dxa" w:w="6236"/>
          </w:tcPr>
          <w:p>
            <w:r/>
            <w:r>
              <w:rPr>
                <w:sz w:val="18"/>
              </w:rPr>
              <w:t>Total obra (infraestructura)</w:t>
            </w:r>
          </w:p>
        </w:tc>
        <w:tc>
          <w:tcPr>
            <w:tcW w:type="dxa" w:w="2551"/>
          </w:tcPr>
          <w:p>
            <w:pPr>
              <w:jc w:val="right"/>
            </w:pPr>
            <w:r/>
            <w:r>
              <w:rPr>
                <w:sz w:val="18"/>
              </w:rPr>
              <w:t>8,943,920.44</w:t>
            </w:r>
          </w:p>
        </w:tc>
      </w:tr>
      <w:tr>
        <w:tc>
          <w:tcPr>
            <w:tcW w:type="dxa" w:w="6236"/>
          </w:tcPr>
          <w:p>
            <w:r/>
            <w:r>
              <w:rPr>
                <w:sz w:val="18"/>
              </w:rPr>
              <w:t>Mobiliario y equipamiento (incluye gastos generales e IGV)</w:t>
            </w:r>
          </w:p>
        </w:tc>
        <w:tc>
          <w:tcPr>
            <w:tcW w:type="dxa" w:w="2551"/>
          </w:tcPr>
          <w:p>
            <w:pPr>
              <w:jc w:val="right"/>
            </w:pPr>
            <w:r/>
            <w:r>
              <w:rPr>
                <w:sz w:val="18"/>
              </w:rPr>
              <w:t>261,243.15</w:t>
            </w:r>
          </w:p>
        </w:tc>
      </w:tr>
      <w:tr>
        <w:tc>
          <w:tcPr>
            <w:tcW w:type="dxa" w:w="6236"/>
          </w:tcPr>
          <w:p>
            <w:r/>
            <w:r>
              <w:rPr>
                <w:sz w:val="18"/>
              </w:rPr>
              <w:t>Desarrollo de capacidades</w:t>
            </w:r>
          </w:p>
        </w:tc>
        <w:tc>
          <w:tcPr>
            <w:tcW w:type="dxa" w:w="2551"/>
          </w:tcPr>
          <w:p>
            <w:pPr>
              <w:jc w:val="right"/>
            </w:pPr>
            <w:r/>
            <w:r>
              <w:rPr>
                <w:sz w:val="18"/>
              </w:rPr>
              <w:t>62,000.00</w:t>
            </w:r>
          </w:p>
        </w:tc>
      </w:tr>
      <w:tr>
        <w:tc>
          <w:tcPr>
            <w:tcW w:type="dxa" w:w="6236"/>
          </w:tcPr>
          <w:p>
            <w:r/>
            <w:r>
              <w:rPr>
                <w:sz w:val="18"/>
              </w:rPr>
              <w:t>Elaboración del expediente técnico</w:t>
            </w:r>
          </w:p>
        </w:tc>
        <w:tc>
          <w:tcPr>
            <w:tcW w:type="dxa" w:w="2551"/>
          </w:tcPr>
          <w:p>
            <w:pPr>
              <w:jc w:val="right"/>
            </w:pPr>
            <w:r/>
            <w:r>
              <w:rPr>
                <w:sz w:val="18"/>
              </w:rPr>
              <w:t>150,331.74</w:t>
            </w:r>
          </w:p>
        </w:tc>
      </w:tr>
      <w:tr>
        <w:tc>
          <w:tcPr>
            <w:tcW w:type="dxa" w:w="6236"/>
          </w:tcPr>
          <w:p>
            <w:r/>
            <w:r>
              <w:rPr>
                <w:sz w:val="18"/>
              </w:rPr>
              <w:t>Supervisión de obra</w:t>
            </w:r>
          </w:p>
        </w:tc>
        <w:tc>
          <w:tcPr>
            <w:tcW w:type="dxa" w:w="2551"/>
          </w:tcPr>
          <w:p>
            <w:pPr>
              <w:jc w:val="right"/>
            </w:pPr>
            <w:r/>
            <w:r>
              <w:rPr>
                <w:sz w:val="18"/>
              </w:rPr>
              <w:t>461,599.62</w:t>
            </w:r>
          </w:p>
        </w:tc>
      </w:tr>
      <w:tr>
        <w:tc>
          <w:tcPr>
            <w:tcW w:type="dxa" w:w="6236"/>
          </w:tcPr>
          <w:p>
            <w:r/>
            <w:r>
              <w:rPr>
                <w:sz w:val="18"/>
              </w:rPr>
              <w:t>Gestión del proyecto</w:t>
            </w:r>
          </w:p>
        </w:tc>
        <w:tc>
          <w:tcPr>
            <w:tcW w:type="dxa" w:w="2551"/>
          </w:tcPr>
          <w:p>
            <w:pPr>
              <w:jc w:val="right"/>
            </w:pPr>
            <w:r/>
            <w:r>
              <w:rPr>
                <w:sz w:val="18"/>
              </w:rPr>
              <w:t>127,726.82</w:t>
            </w:r>
          </w:p>
        </w:tc>
      </w:tr>
      <w:tr>
        <w:tc>
          <w:tcPr>
            <w:tcW w:type="dxa" w:w="6236"/>
          </w:tcPr>
          <w:p>
            <w:r/>
            <w:r>
              <w:rPr>
                <w:sz w:val="18"/>
              </w:rPr>
              <w:t>Liquidación</w:t>
            </w:r>
          </w:p>
        </w:tc>
        <w:tc>
          <w:tcPr>
            <w:tcW w:type="dxa" w:w="2551"/>
          </w:tcPr>
          <w:p>
            <w:pPr>
              <w:jc w:val="right"/>
            </w:pPr>
            <w:r/>
            <w:r>
              <w:rPr>
                <w:sz w:val="18"/>
              </w:rPr>
              <w:t>30,000.00</w:t>
            </w:r>
          </w:p>
        </w:tc>
      </w:tr>
      <w:tr>
        <w:tc>
          <w:tcPr>
            <w:tcW w:type="dxa" w:w="6236"/>
          </w:tcPr>
          <w:p>
            <w:r/>
            <w:r>
              <w:rPr>
                <w:sz w:val="18"/>
              </w:rPr>
              <w:t>Inversión total</w:t>
            </w:r>
          </w:p>
        </w:tc>
        <w:tc>
          <w:tcPr>
            <w:tcW w:type="dxa" w:w="2551"/>
          </w:tcPr>
          <w:p>
            <w:pPr>
              <w:jc w:val="right"/>
            </w:pPr>
            <w:r/>
            <w:r>
              <w:rPr>
                <w:sz w:val="18"/>
              </w:rPr>
              <w:t>10,036,821.77</w:t>
            </w:r>
          </w:p>
        </w:tc>
      </w:tr>
      <w:tr>
        <w:tc>
          <w:tcPr>
            <w:tcW w:type="dxa" w:w="6236"/>
          </w:tcPr>
          <w:p>
            <w:r/>
            <w:r>
              <w:rPr>
                <w:sz w:val="18"/>
              </w:rPr>
              <w:t>Control concurrente</w:t>
            </w:r>
          </w:p>
        </w:tc>
        <w:tc>
          <w:tcPr>
            <w:tcW w:type="dxa" w:w="2551"/>
          </w:tcPr>
          <w:p>
            <w:pPr>
              <w:jc w:val="right"/>
            </w:pPr>
            <w:r/>
            <w:r>
              <w:rPr>
                <w:sz w:val="18"/>
              </w:rPr>
              <w:t>60,220.93</w:t>
            </w:r>
          </w:p>
        </w:tc>
      </w:tr>
      <w:tr>
        <w:tc>
          <w:tcPr>
            <w:tcW w:type="dxa" w:w="6236"/>
          </w:tcPr>
          <w:p>
            <w:r/>
            <w:r>
              <w:rPr>
                <w:b/>
                <w:sz w:val="18"/>
              </w:rPr>
              <w:t>Presupuesto total (incluye IGV)</w:t>
            </w:r>
          </w:p>
        </w:tc>
        <w:tc>
          <w:tcPr>
            <w:tcW w:type="dxa" w:w="2551"/>
          </w:tcPr>
          <w:p>
            <w:pPr>
              <w:jc w:val="right"/>
            </w:pPr>
            <w:r/>
            <w:r>
              <w:rPr>
                <w:b/>
                <w:sz w:val="18"/>
              </w:rPr>
              <w:t>10,097,042.70</w:t>
            </w:r>
          </w:p>
        </w:tc>
      </w:tr>
    </w:tbl>
    <w:p>
      <w:pPr>
        <w:spacing w:after="80"/>
      </w:pPr>
      <w:r>
        <w:rPr>
          <w:i/>
          <w:sz w:val="16"/>
        </w:rPr>
        <w:t>Fuente: Resumen Ejecutivo del estudio de preinversión, Tabla 20.</w:t>
      </w:r>
    </w:p>
    <w:p>
      <w:pPr>
        <w:spacing w:after="120"/>
        <w:jc w:val="both"/>
      </w:pPr>
      <w:r>
        <w:rPr>
          <w:b w:val="0"/>
        </w:rPr>
        <w:t>El presupuesto de obra del expediente técnico, elaborado a partir de los metrados de los planos de cada especialidad y de los análisis de costos unitarios, se presenta en el capítulo de presupuesto; cualquier diferencia respecto del monto viable se sustenta en el formato de registro correspondiente del Banco de Inversiones.</w:t>
      </w:r>
    </w:p>
    <w:p>
      <w:pPr>
        <w:pStyle w:val="Heading1"/>
      </w:pPr>
      <w:r>
        <w:t>12. OPERACIÓN, MANTENIMIENTO Y SOSTENIBILIDAD</w:t>
      </w:r>
    </w:p>
    <w:p>
      <w:pPr>
        <w:spacing w:after="120"/>
        <w:jc w:val="both"/>
      </w:pPr>
      <w:r>
        <w:rPr>
          <w:b w:val="0"/>
        </w:rPr>
        <w:t>Los costos anuales de operación y mantenimiento en la situación con proyecto ascienden a S/ 2,903,200.00 a precios de mercado, de los cuales S/ 2,563,200.00 corresponden a operación (alimentación, medicinas, vestido, remuneraciones, materiales didácticos y de limpieza, servicios de energía eléctrica y agua, y gastos administrativos) y S/ 340,000.00 a mantenimiento de la infraestructura, pintado, instalaciones eléctricas y sanitarias, equipos y mobiliario.</w:t>
      </w:r>
    </w:p>
    <w:p>
      <w:pPr>
        <w:spacing w:after="120"/>
        <w:jc w:val="both"/>
      </w:pPr>
      <w:r>
        <w:rPr>
          <w:b w:val="0"/>
        </w:rPr>
        <w:t>El Gobierno Regional de San Martín asume el costo de inversión con recursos propios. Concluida la obra, la operación y el mantenimiento se financian conforme al acta de compromiso de operación y mantenimiento suscrita en la etapa de preinversión. El estudio de preinversión acreditó la sostenibilidad financiera, social, técnica y ambiental del proyecto, con acta de aceptación de la alternativa de solución por parte de los beneficiarios y recursos destinados a la mitigación de impactos negativos y de riesgos.</w:t>
      </w:r>
    </w:p>
    <w:p>
      <w:pPr>
        <w:spacing w:after="120"/>
        <w:jc w:val="both"/>
      </w:pPr>
      <w:r>
        <w:rPr>
          <w:b w:val="0"/>
        </w:rPr>
        <w:t>La evaluación social, por la metodología costo-efectividad, obtuvo un valor actual de costos sociales de S/ 26,508,973 y ratios de S/ 5,556.78 por metro cuadrado construido y de S/ 185.37 por beneficiario atendido al año diez, resultados que se mantienen en el análisis de sensibilidad y sustentan la viabilidad del proyecto.</w:t>
      </w:r>
    </w:p>
    <w:p>
      <w:pPr>
        <w:pStyle w:val="Heading1"/>
      </w:pPr>
      <w:r>
        <w:t>13. IMPACTO AMBIENTAL Y SEGURIDAD</w:t>
      </w:r>
    </w:p>
    <w:p>
      <w:pPr>
        <w:spacing w:after="120"/>
        <w:jc w:val="both"/>
      </w:pPr>
      <w:r>
        <w:rPr>
          <w:b w:val="0"/>
        </w:rPr>
        <w:t>El proyecto incluye las partidas de mitigación ambiental, seguridad y salud en obra y señalética de seguridad consideradas en el estudio de preinversión, que se desarrollan en el expediente técnico mediante el plan de manejo ambiental y el plan de seguridad y salud en el trabajo. Durante la ejecución se aplican medidas de control de polvo, ruido y residuos de construcción y demolición, conforme al Decreto Supremo N.° 019-2016-VIVIENDA, y se protegen las áreas verdes y la arborización existente que se conserva en el diseño.</w:t>
      </w:r>
    </w:p>
    <w:p>
      <w:pPr>
        <w:pStyle w:val="Heading1"/>
      </w:pPr>
      <w:r>
        <w:t>14. CONCLUSIONES</w:t>
      </w:r>
    </w:p>
    <w:p>
      <w:pPr>
        <w:pStyle w:val="ListBullet"/>
        <w:spacing w:after="60"/>
        <w:jc w:val="both"/>
      </w:pPr>
      <w:r>
        <w:t>El expediente técnico desarrolla la alternativa única del estudio de preinversión declarado viable: un Centro de Acogida Residencial para mujeres de un nivel, con diez edificaciones, losa deportiva techada y dos guardianías, con 3,654.58 m² de área techada en un terreno de 6,999.98 m² del Predio Rural Los Mangos, distrito de Morales.</w:t>
      </w:r>
    </w:p>
    <w:p>
      <w:pPr>
        <w:pStyle w:val="ListBullet"/>
        <w:spacing w:after="60"/>
        <w:jc w:val="both"/>
      </w:pPr>
      <w:r>
        <w:t>La programación arquitectónica cumple los ambientes mínimos exigidos para los CAR por el Decreto Legislativo N.° 1297 y su Reglamento, organizados en cuatro unidades residenciales por grupos de edad, zona administrativa y de atención especializada, servicio de alimentación, servicios generales, área deportiva y recreativa, y control de accesos.</w:t>
      </w:r>
    </w:p>
    <w:p>
      <w:pPr>
        <w:pStyle w:val="ListBullet"/>
        <w:spacing w:after="60"/>
        <w:jc w:val="both"/>
      </w:pPr>
      <w:r>
        <w:t>El sistema de drenaje pluvial resuelve la evacuación de las aguas de lluvia de techos, pisos y áreas exteriores en trece sectores y las conduce al colector pluvial frontal, que además recibe los aportes de los proyectos colindantes Hogar de Refugio Temporal (CUI N.° 2675514) y CAR Varones (CUI N.° 2705619).</w:t>
      </w:r>
    </w:p>
    <w:p>
      <w:pPr>
        <w:pStyle w:val="ListBullet"/>
        <w:spacing w:after="60"/>
        <w:jc w:val="both"/>
      </w:pPr>
      <w:r>
        <w:t>La población beneficiaria directa es de 15,709 niñas, niños y adolescentes del distrito de Morales en el primer año de operación y de 21,312 al año diez.</w:t>
      </w:r>
    </w:p>
    <w:p>
      <w:pPr>
        <w:pStyle w:val="ListBullet"/>
        <w:spacing w:after="60"/>
        <w:jc w:val="both"/>
      </w:pPr>
      <w:r>
        <w:t>La inversión viable asciende a S/ 10,097,042.70, de los cuales S/ 8,943,920.44 corresponden a la obra de infraestructura.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