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40" w:line="276" w:lineRule="auto"/>
        <w:jc w:val="center"/>
      </w:pPr>
      <w:r>
        <w:rPr>
          <w:rFonts w:ascii="Arial" w:hAnsi="Arial" w:cs="Arial"/>
          <w:b/>
          <w:i w:val="0"/>
          <w:color w:val="1F4E79"/>
          <w:sz w:val="26"/>
        </w:rPr>
        <w:t>GOBIERNO REGIONAL SAN MARTÍN</w:t>
      </w:r>
    </w:p>
    <w:p>
      <w:pPr>
        <w:spacing w:before="0" w:after="800" w:line="276" w:lineRule="auto"/>
        <w:jc w:val="center"/>
      </w:pPr>
      <w:r>
        <w:rPr>
          <w:rFonts w:ascii="Arial" w:hAnsi="Arial" w:cs="Arial"/>
          <w:b/>
          <w:i w:val="0"/>
          <w:color w:val="1F4E79"/>
          <w:sz w:val="22"/>
        </w:rPr>
        <w:t>DIRECCIÓN REGIONAL DE TRANSPORTES Y COMUNICACIONES</w:t>
      </w:r>
    </w:p>
    <w:p>
      <w:pPr>
        <w:spacing w:before="0" w:after="480" w:line="276" w:lineRule="auto"/>
        <w:jc w:val="center"/>
      </w:pPr>
      <w:r>
        <w:rPr>
          <w:rFonts w:ascii="Arial" w:hAnsi="Arial" w:cs="Arial"/>
          <w:b/>
          <w:i w:val="0"/>
          <w:sz w:val="34"/>
        </w:rPr>
        <w:t>ESTUDIO DE GESTIÓN DE RIESGOS EN LA PLANIFICACIÓN DE LA EJECUCIÓN DE LA OBRA</w:t>
      </w:r>
    </w:p>
    <w:p>
      <w:pPr>
        <w:spacing w:before="0" w:after="80" w:line="276" w:lineRule="auto"/>
        <w:jc w:val="center"/>
      </w:pPr>
      <w:r>
        <w:rPr>
          <w:rFonts w:ascii="Arial" w:hAnsi="Arial" w:cs="Arial"/>
          <w:b/>
          <w:i w:val="0"/>
          <w:sz w:val="20"/>
        </w:rPr>
        <w:t>PROYECTO DE INVERSIÓN:</w:t>
      </w:r>
    </w:p>
    <w:p>
      <w:pPr>
        <w:spacing w:before="0" w:after="160" w:line="276" w:lineRule="auto"/>
        <w:jc w:val="center"/>
      </w:pPr>
      <w:r>
        <w:rPr>
          <w:rFonts w:ascii="Arial" w:hAnsi="Arial" w:cs="Arial"/>
          <w:b/>
          <w:i w:val="0"/>
          <w:sz w:val="24"/>
        </w:rPr>
        <w:t>“MEJORAMIENTO DEL SERVICIO DE TRANSITABILIDAD VIAL INTERURBANA EN LA VÍA DEPARTAMENTAL SM-107, TRAMO TINGO DE PONASA - SHAMBOYACU, DISTRITO DE SHAMBOYACU, PROVINCIA DE PICOTA, DEPARTAMENTO DE SAN MARTÍN”</w:t>
      </w:r>
    </w:p>
    <w:p>
      <w:pPr>
        <w:spacing w:before="0" w:after="800" w:line="276" w:lineRule="auto"/>
        <w:jc w:val="center"/>
      </w:pPr>
      <w:r>
        <w:rPr>
          <w:rFonts w:ascii="Arial" w:hAnsi="Arial" w:cs="Arial"/>
          <w:b/>
          <w:i w:val="0"/>
          <w:sz w:val="24"/>
        </w:rPr>
        <w:t>CUI N.° 2673852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Layout w:type="fixed"/>
        <w:tblW w:w="9072" w:type="dxa"/>
      </w:tblPr>
      <w:tblGrid>
        <w:gridCol w:w="2551"/>
        <w:gridCol w:w="6520"/>
      </w:tblGrid>
      <w:tr>
        <w:trPr>
          <w:tblHeader w:val="true"/>
        </w:trPr>
        <w:tc>
          <w:tcPr>
            <w:tcW w:type="dxa" w:w="2551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8"/>
              </w:rPr>
              <w:t>DATO</w:t>
            </w:r>
          </w:p>
        </w:tc>
        <w:tc>
          <w:tcPr>
            <w:tcW w:type="dxa" w:w="6520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Ubicación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Distrito de Shamboyacu, provincia de Picota, departamento de San Martín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Tramo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Tingo de Ponasa (km 19+343.39) - Shamboyacu (km 44+693.39); 25.350 km según inventario vial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Presupuesto de obra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S/ 122,376,368.88 (costo al 02/12/2024)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Costo total de inversión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S/ 132,696,945.59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Plazo de ejecución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720 días calendario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Modalidad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Administración indirecta - por contrata</w:t>
            </w:r>
          </w:p>
        </w:tc>
      </w:tr>
    </w:tbl>
    <w:p>
      <w:pPr>
        <w:spacing w:before="0" w:after="80" w:line="276" w:lineRule="auto"/>
        <w:jc w:val="both"/>
      </w:pPr>
    </w:p>
    <w:p>
      <w:pPr>
        <w:spacing w:before="800" w:after="120" w:line="276" w:lineRule="auto"/>
        <w:jc w:val="center"/>
      </w:pPr>
      <w:r>
        <w:rPr>
          <w:rFonts w:ascii="Arial" w:hAnsi="Arial" w:cs="Arial"/>
          <w:b/>
          <w:i w:val="0"/>
          <w:sz w:val="22"/>
        </w:rPr>
        <w:t>OCTUBRE 2026</w:t>
      </w:r>
    </w:p>
    <w:p>
      <w:r>
        <w:br w:type="page"/>
      </w:r>
    </w:p>
    <w:p>
      <w:pPr>
        <w:spacing w:before="0" w:after="160" w:line="276" w:lineRule="auto"/>
        <w:jc w:val="center"/>
      </w:pPr>
      <w:r>
        <w:rPr>
          <w:rFonts w:ascii="Arial" w:hAnsi="Arial" w:cs="Arial"/>
          <w:b/>
          <w:i w:val="0"/>
          <w:color w:val="1F4E79"/>
          <w:sz w:val="24"/>
        </w:rPr>
        <w:t>CONTENIDO</w:t>
      </w:r>
    </w:p>
    <w:p>
      <w:pPr>
        <w:spacing w:after="40"/>
        <w:ind w:left="0"/>
      </w:pPr>
      <w:r>
        <w:rPr>
          <w:rFonts w:ascii="Arial" w:hAnsi="Arial" w:cs="Arial"/>
          <w:b/>
          <w:i w:val="0"/>
          <w:sz w:val="20"/>
        </w:rPr>
        <w:t>1  ASPECTOS GENERALES</w:t>
      </w:r>
    </w:p>
    <w:p>
      <w:pPr>
        <w:spacing w:after="40"/>
        <w:ind w:left="454"/>
      </w:pPr>
      <w:r>
        <w:rPr>
          <w:rFonts w:ascii="Arial" w:hAnsi="Arial" w:cs="Arial"/>
          <w:b w:val="0"/>
          <w:i w:val="0"/>
          <w:sz w:val="19"/>
        </w:rPr>
        <w:t>1.1  Objetivo</w:t>
      </w:r>
    </w:p>
    <w:p>
      <w:pPr>
        <w:spacing w:after="40"/>
        <w:ind w:left="454"/>
      </w:pPr>
      <w:r>
        <w:rPr>
          <w:rFonts w:ascii="Arial" w:hAnsi="Arial" w:cs="Arial"/>
          <w:b w:val="0"/>
          <w:i w:val="0"/>
          <w:sz w:val="19"/>
        </w:rPr>
        <w:t>1.2  Alcance</w:t>
      </w:r>
    </w:p>
    <w:p>
      <w:pPr>
        <w:spacing w:after="40"/>
        <w:ind w:left="454"/>
      </w:pPr>
      <w:r>
        <w:rPr>
          <w:rFonts w:ascii="Arial" w:hAnsi="Arial" w:cs="Arial"/>
          <w:b w:val="0"/>
          <w:i w:val="0"/>
          <w:sz w:val="19"/>
        </w:rPr>
        <w:t>1.3  Diferencia con la evaluación de riesgo de desastres (EVAR)</w:t>
      </w:r>
    </w:p>
    <w:p>
      <w:pPr>
        <w:spacing w:after="40"/>
        <w:ind w:left="454"/>
      </w:pPr>
      <w:r>
        <w:rPr>
          <w:rFonts w:ascii="Arial" w:hAnsi="Arial" w:cs="Arial"/>
          <w:b w:val="0"/>
          <w:i w:val="0"/>
          <w:sz w:val="19"/>
        </w:rPr>
        <w:t>1.4  Datos del proyecto</w:t>
      </w:r>
    </w:p>
    <w:p>
      <w:pPr>
        <w:spacing w:after="40"/>
        <w:ind w:left="0"/>
      </w:pPr>
      <w:r>
        <w:rPr>
          <w:rFonts w:ascii="Arial" w:hAnsi="Arial" w:cs="Arial"/>
          <w:b/>
          <w:i w:val="0"/>
          <w:sz w:val="20"/>
        </w:rPr>
        <w:t>2  MARCO NORMATIVO</w:t>
      </w:r>
    </w:p>
    <w:p>
      <w:pPr>
        <w:spacing w:after="40"/>
        <w:ind w:left="0"/>
      </w:pPr>
      <w:r>
        <w:rPr>
          <w:rFonts w:ascii="Arial" w:hAnsi="Arial" w:cs="Arial"/>
          <w:b/>
          <w:i w:val="0"/>
          <w:sz w:val="20"/>
        </w:rPr>
        <w:t>3  DESCRIPCIÓN DEL PROYECTO Y DE SU ENTORNO</w:t>
      </w:r>
    </w:p>
    <w:p>
      <w:pPr>
        <w:spacing w:after="40"/>
        <w:ind w:left="454"/>
      </w:pPr>
      <w:r>
        <w:rPr>
          <w:rFonts w:ascii="Arial" w:hAnsi="Arial" w:cs="Arial"/>
          <w:b w:val="0"/>
          <w:i w:val="0"/>
          <w:sz w:val="19"/>
        </w:rPr>
        <w:t>3.1  Ubicación y trazo</w:t>
      </w:r>
    </w:p>
    <w:p>
      <w:pPr>
        <w:spacing w:after="40"/>
        <w:ind w:left="454"/>
      </w:pPr>
      <w:r>
        <w:rPr>
          <w:rFonts w:ascii="Arial" w:hAnsi="Arial" w:cs="Arial"/>
          <w:b w:val="0"/>
          <w:i w:val="0"/>
          <w:sz w:val="19"/>
        </w:rPr>
        <w:t>3.2  Componentes y costos de la obra</w:t>
      </w:r>
    </w:p>
    <w:p>
      <w:pPr>
        <w:spacing w:after="40"/>
        <w:ind w:left="454"/>
      </w:pPr>
      <w:r>
        <w:rPr>
          <w:rFonts w:ascii="Arial" w:hAnsi="Arial" w:cs="Arial"/>
          <w:b w:val="0"/>
          <w:i w:val="0"/>
          <w:sz w:val="19"/>
        </w:rPr>
        <w:t>3.3  Estado de la vía y puntos críticos</w:t>
      </w:r>
    </w:p>
    <w:p>
      <w:pPr>
        <w:spacing w:after="40"/>
        <w:ind w:left="454"/>
      </w:pPr>
      <w:r>
        <w:rPr>
          <w:rFonts w:ascii="Arial" w:hAnsi="Arial" w:cs="Arial"/>
          <w:b w:val="0"/>
          <w:i w:val="0"/>
          <w:sz w:val="19"/>
        </w:rPr>
        <w:t>3.4  Relieve</w:t>
      </w:r>
    </w:p>
    <w:p>
      <w:pPr>
        <w:spacing w:after="40"/>
        <w:ind w:left="454"/>
      </w:pPr>
      <w:r>
        <w:rPr>
          <w:rFonts w:ascii="Arial" w:hAnsi="Arial" w:cs="Arial"/>
          <w:b w:val="0"/>
          <w:i w:val="0"/>
          <w:sz w:val="19"/>
        </w:rPr>
        <w:t>3.5  Clima</w:t>
      </w:r>
    </w:p>
    <w:p>
      <w:pPr>
        <w:spacing w:after="40"/>
        <w:ind w:left="0"/>
      </w:pPr>
      <w:r>
        <w:rPr>
          <w:rFonts w:ascii="Arial" w:hAnsi="Arial" w:cs="Arial"/>
          <w:b/>
          <w:i w:val="0"/>
          <w:sz w:val="20"/>
        </w:rPr>
        <w:t>4  METODOLOGÍA</w:t>
      </w:r>
    </w:p>
    <w:p>
      <w:pPr>
        <w:spacing w:after="40"/>
        <w:ind w:left="0"/>
      </w:pPr>
      <w:r>
        <w:rPr>
          <w:rFonts w:ascii="Arial" w:hAnsi="Arial" w:cs="Arial"/>
          <w:b/>
          <w:i w:val="0"/>
          <w:sz w:val="20"/>
        </w:rPr>
        <w:t>5  IDENTIFICACIÓN DE RIESGOS</w:t>
      </w:r>
    </w:p>
    <w:p>
      <w:pPr>
        <w:spacing w:after="40"/>
        <w:ind w:left="0"/>
      </w:pPr>
      <w:r>
        <w:rPr>
          <w:rFonts w:ascii="Arial" w:hAnsi="Arial" w:cs="Arial"/>
          <w:b/>
          <w:i w:val="0"/>
          <w:sz w:val="20"/>
        </w:rPr>
        <w:t>6  ANÁLISIS CUALITATIVO</w:t>
      </w:r>
    </w:p>
    <w:p>
      <w:pPr>
        <w:spacing w:after="40"/>
        <w:ind w:left="0"/>
      </w:pPr>
      <w:r>
        <w:rPr>
          <w:rFonts w:ascii="Arial" w:hAnsi="Arial" w:cs="Arial"/>
          <w:b/>
          <w:i w:val="0"/>
          <w:sz w:val="20"/>
        </w:rPr>
        <w:t>7  ANÁLISIS CUANTITATIVO</w:t>
      </w:r>
    </w:p>
    <w:p>
      <w:pPr>
        <w:spacing w:after="40"/>
        <w:ind w:left="454"/>
      </w:pPr>
      <w:r>
        <w:rPr>
          <w:rFonts w:ascii="Arial" w:hAnsi="Arial" w:cs="Arial"/>
          <w:b w:val="0"/>
          <w:i w:val="0"/>
          <w:sz w:val="19"/>
        </w:rPr>
        <w:t>7.1  Valor monetario esperado</w:t>
      </w:r>
    </w:p>
    <w:p>
      <w:pPr>
        <w:spacing w:after="40"/>
        <w:ind w:left="454"/>
      </w:pPr>
      <w:r>
        <w:rPr>
          <w:rFonts w:ascii="Arial" w:hAnsi="Arial" w:cs="Arial"/>
          <w:b w:val="0"/>
          <w:i w:val="0"/>
          <w:sz w:val="19"/>
        </w:rPr>
        <w:t>7.2  Simulación de Monte Carlo</w:t>
      </w:r>
    </w:p>
    <w:p>
      <w:pPr>
        <w:spacing w:after="40"/>
        <w:ind w:left="0"/>
      </w:pPr>
      <w:r>
        <w:rPr>
          <w:rFonts w:ascii="Arial" w:hAnsi="Arial" w:cs="Arial"/>
          <w:b/>
          <w:i w:val="0"/>
          <w:sz w:val="20"/>
        </w:rPr>
        <w:t>8  OBSERVACIONES A LOS DOCUMENTOS DEL PROYECTO</w:t>
      </w:r>
    </w:p>
    <w:p>
      <w:pPr>
        <w:spacing w:after="40"/>
        <w:ind w:left="0"/>
      </w:pPr>
      <w:r>
        <w:rPr>
          <w:rFonts w:ascii="Arial" w:hAnsi="Arial" w:cs="Arial"/>
          <w:b/>
          <w:i w:val="0"/>
          <w:sz w:val="20"/>
        </w:rPr>
        <w:t>9  PLAN DE RESPUESTA</w:t>
      </w:r>
    </w:p>
    <w:p>
      <w:pPr>
        <w:spacing w:after="40"/>
        <w:ind w:left="454"/>
      </w:pPr>
      <w:r>
        <w:rPr>
          <w:rFonts w:ascii="Arial" w:hAnsi="Arial" w:cs="Arial"/>
          <w:b w:val="0"/>
          <w:i w:val="0"/>
          <w:sz w:val="19"/>
        </w:rPr>
        <w:t>9.1  Acciones previas a la convocatoria</w:t>
      </w:r>
    </w:p>
    <w:p>
      <w:pPr>
        <w:spacing w:after="40"/>
        <w:ind w:left="454"/>
      </w:pPr>
      <w:r>
        <w:rPr>
          <w:rFonts w:ascii="Arial" w:hAnsi="Arial" w:cs="Arial"/>
          <w:b w:val="0"/>
          <w:i w:val="0"/>
          <w:sz w:val="19"/>
        </w:rPr>
        <w:t>9.2  Programación según la temporada de lluvias</w:t>
      </w:r>
    </w:p>
    <w:p>
      <w:pPr>
        <w:spacing w:after="40"/>
        <w:ind w:left="454"/>
      </w:pPr>
      <w:r>
        <w:rPr>
          <w:rFonts w:ascii="Arial" w:hAnsi="Arial" w:cs="Arial"/>
          <w:b w:val="0"/>
          <w:i w:val="0"/>
          <w:sz w:val="19"/>
        </w:rPr>
        <w:t>9.3  Plan de respuesta por riesgo</w:t>
      </w:r>
    </w:p>
    <w:p>
      <w:pPr>
        <w:spacing w:after="40"/>
        <w:ind w:left="0"/>
      </w:pPr>
      <w:r>
        <w:rPr>
          <w:rFonts w:ascii="Arial" w:hAnsi="Arial" w:cs="Arial"/>
          <w:b/>
          <w:i w:val="0"/>
          <w:sz w:val="20"/>
        </w:rPr>
        <w:t>10  ASIGNACIÓN DE RIESGOS</w:t>
      </w:r>
    </w:p>
    <w:p>
      <w:pPr>
        <w:spacing w:after="40"/>
        <w:ind w:left="0"/>
      </w:pPr>
      <w:r>
        <w:rPr>
          <w:rFonts w:ascii="Arial" w:hAnsi="Arial" w:cs="Arial"/>
          <w:b/>
          <w:i w:val="0"/>
          <w:sz w:val="20"/>
        </w:rPr>
        <w:t>11  OPORTUNIDADES</w:t>
      </w:r>
    </w:p>
    <w:p>
      <w:pPr>
        <w:spacing w:after="40"/>
        <w:ind w:left="0"/>
      </w:pPr>
      <w:r>
        <w:rPr>
          <w:rFonts w:ascii="Arial" w:hAnsi="Arial" w:cs="Arial"/>
          <w:b/>
          <w:i w:val="0"/>
          <w:sz w:val="20"/>
        </w:rPr>
        <w:t>12  ORGANIZACIÓN Y SEGUIMIENTO</w:t>
      </w:r>
    </w:p>
    <w:p>
      <w:pPr>
        <w:spacing w:after="40"/>
        <w:ind w:left="454"/>
      </w:pPr>
      <w:r>
        <w:rPr>
          <w:rFonts w:ascii="Arial" w:hAnsi="Arial" w:cs="Arial"/>
          <w:b w:val="0"/>
          <w:i w:val="0"/>
          <w:sz w:val="19"/>
        </w:rPr>
        <w:t>12.1  Comité de gestión de riesgos</w:t>
      </w:r>
    </w:p>
    <w:p>
      <w:pPr>
        <w:spacing w:after="40"/>
        <w:ind w:left="454"/>
      </w:pPr>
      <w:r>
        <w:rPr>
          <w:rFonts w:ascii="Arial" w:hAnsi="Arial" w:cs="Arial"/>
          <w:b w:val="0"/>
          <w:i w:val="0"/>
          <w:sz w:val="19"/>
        </w:rPr>
        <w:t>12.2  Ciclo de seguimiento</w:t>
      </w:r>
    </w:p>
    <w:p>
      <w:pPr>
        <w:spacing w:after="40"/>
        <w:ind w:left="0"/>
      </w:pPr>
      <w:r>
        <w:rPr>
          <w:rFonts w:ascii="Arial" w:hAnsi="Arial" w:cs="Arial"/>
          <w:b/>
          <w:i w:val="0"/>
          <w:sz w:val="20"/>
        </w:rPr>
        <w:t>13  CONCLUSIONES Y RECOMENDACIONES</w:t>
      </w:r>
    </w:p>
    <w:p>
      <w:pPr>
        <w:spacing w:after="40"/>
        <w:ind w:left="454"/>
      </w:pPr>
      <w:r>
        <w:rPr>
          <w:rFonts w:ascii="Arial" w:hAnsi="Arial" w:cs="Arial"/>
          <w:b w:val="0"/>
          <w:i w:val="0"/>
          <w:sz w:val="19"/>
        </w:rPr>
        <w:t>13.1  Conclusiones</w:t>
      </w:r>
    </w:p>
    <w:p>
      <w:pPr>
        <w:spacing w:after="40"/>
        <w:ind w:left="454"/>
      </w:pPr>
      <w:r>
        <w:rPr>
          <w:rFonts w:ascii="Arial" w:hAnsi="Arial" w:cs="Arial"/>
          <w:b w:val="0"/>
          <w:i w:val="0"/>
          <w:sz w:val="19"/>
        </w:rPr>
        <w:t>13.2  Recomendaciones</w:t>
      </w:r>
    </w:p>
    <w:p>
      <w:pPr>
        <w:spacing w:after="40"/>
        <w:ind w:left="0"/>
      </w:pPr>
      <w:r>
        <w:rPr>
          <w:rFonts w:ascii="Arial" w:hAnsi="Arial" w:cs="Arial"/>
          <w:b/>
          <w:i w:val="0"/>
          <w:sz w:val="20"/>
        </w:rPr>
        <w:t>14  ANEXOS</w:t>
      </w:r>
    </w:p>
    <w:p>
      <w:pPr>
        <w:spacing w:after="40"/>
        <w:ind w:left="454"/>
      </w:pPr>
      <w:r>
        <w:rPr>
          <w:rFonts w:ascii="Arial" w:hAnsi="Arial" w:cs="Arial"/>
          <w:b w:val="0"/>
          <w:i w:val="0"/>
          <w:sz w:val="19"/>
        </w:rPr>
        <w:t>14.1  Anexo 1: Registro de riesgos</w:t>
      </w:r>
    </w:p>
    <w:p>
      <w:pPr>
        <w:spacing w:after="40"/>
        <w:ind w:left="454"/>
      </w:pPr>
      <w:r>
        <w:rPr>
          <w:rFonts w:ascii="Arial" w:hAnsi="Arial" w:cs="Arial"/>
          <w:b w:val="0"/>
          <w:i w:val="0"/>
          <w:sz w:val="19"/>
        </w:rPr>
        <w:t>14.2  Anexo 2: Documentos que acompañan el estudio</w:t>
      </w:r>
    </w:p>
    <w:p>
      <w:r>
        <w:br w:type="page"/>
      </w:r>
    </w:p>
    <w:p>
      <w:pPr>
        <w:pStyle w:val="Heading1"/>
        <w:keepNext/>
        <w:spacing w:before="240" w:after="120"/>
      </w:pPr>
      <w:r>
        <w:rPr>
          <w:rFonts w:ascii="Arial" w:hAnsi="Arial" w:cs="Arial"/>
          <w:b/>
          <w:i w:val="0"/>
          <w:color w:val="1F4E79"/>
          <w:sz w:val="24"/>
        </w:rPr>
        <w:t>1. ASPECTOS GENERALES</w:t>
      </w:r>
    </w:p>
    <w:p>
      <w:pPr>
        <w:pStyle w:val="Heading2"/>
        <w:keepNext/>
        <w:spacing w:before="160" w:after="120"/>
      </w:pPr>
      <w:r>
        <w:rPr>
          <w:rFonts w:ascii="Arial" w:hAnsi="Arial" w:cs="Arial"/>
          <w:b/>
          <w:i w:val="0"/>
          <w:color w:val="1F4E79"/>
          <w:sz w:val="21"/>
        </w:rPr>
        <w:t>1.1 Objetivo</w:t>
      </w:r>
    </w:p>
    <w:p>
      <w:pPr>
        <w:spacing w:before="0" w:after="120" w:line="276" w:lineRule="auto"/>
        <w:jc w:val="both"/>
      </w:pPr>
      <w:r>
        <w:rPr>
          <w:rFonts w:ascii="Arial" w:hAnsi="Arial" w:cs="Arial"/>
          <w:b w:val="0"/>
          <w:i w:val="0"/>
          <w:sz w:val="20"/>
        </w:rPr>
        <w:t>Identificar, analizar y planificar la respuesta a los riesgos que pueden afectar el costo, el plazo y la calidad de la ejecución de la obra “MEJORAMIENTO DEL SERVICIO DE TRANSITABILIDAD VIAL INTERURBANA EN LA VÍA DEPARTAMENTAL SM-107, TRAMO TINGO DE PONASA - SHAMBOYACU, DISTRITO DE SHAMBOYACU, PROVINCIA DE PICOTA, DEPARTAMENTO DE SAN MARTÍN”, CUI N.° 2673852, y asignar cada riesgo a la parte que mejor puede gestionarlo, de modo que la matriz de riesgos se incorpore al expediente de contratación y sirva para el seguimiento durante la obra.</w:t>
      </w:r>
    </w:p>
    <w:p>
      <w:pPr>
        <w:pStyle w:val="Heading2"/>
        <w:keepNext/>
        <w:spacing w:before="160" w:after="120"/>
      </w:pPr>
      <w:r>
        <w:rPr>
          <w:rFonts w:ascii="Arial" w:hAnsi="Arial" w:cs="Arial"/>
          <w:b/>
          <w:i w:val="0"/>
          <w:color w:val="1F4E79"/>
          <w:sz w:val="21"/>
        </w:rPr>
        <w:t>1.2 Alcance</w:t>
      </w:r>
    </w:p>
    <w:p>
      <w:pPr>
        <w:spacing w:before="0" w:after="120" w:line="276" w:lineRule="auto"/>
        <w:jc w:val="both"/>
      </w:pPr>
      <w:r>
        <w:rPr>
          <w:rFonts w:ascii="Arial" w:hAnsi="Arial" w:cs="Arial"/>
          <w:b w:val="0"/>
          <w:i w:val="0"/>
          <w:sz w:val="20"/>
        </w:rPr>
        <w:t>El estudio cubre la ejecución física de la obra (24 meses) y las acciones previas a la convocatoria que condicionan el inicio: libre disponibilidad del terreno, permisos, interferencias, canteras y depósitos de material excedente. Abarca los componentes del presupuesto: obras provisionales, demoliciones, movimiento de tierras, pavimento asfáltico, transporte, obras de arte y drenaje (alcantarillas, cunetas, muros y gaviones), señalización, cinco puentes y el plan de manejo ambiental. No reemplaza el plan de seguridad y salud en el trabajo, el plan de manejo ambiental ni el plan de contingencias, con los que se coordina.</w:t>
      </w:r>
    </w:p>
    <w:p>
      <w:pPr>
        <w:pStyle w:val="Heading2"/>
        <w:keepNext/>
        <w:spacing w:before="160" w:after="120"/>
      </w:pPr>
      <w:r>
        <w:rPr>
          <w:rFonts w:ascii="Arial" w:hAnsi="Arial" w:cs="Arial"/>
          <w:b/>
          <w:i w:val="0"/>
          <w:color w:val="1F4E79"/>
          <w:sz w:val="21"/>
        </w:rPr>
        <w:t>1.3 Diferencia con la evaluación de riesgo de desastres (EVAR)</w:t>
      </w:r>
    </w:p>
    <w:p>
      <w:pPr>
        <w:spacing w:before="0" w:after="120" w:line="276" w:lineRule="auto"/>
        <w:jc w:val="both"/>
      </w:pPr>
      <w:r>
        <w:rPr>
          <w:rFonts w:ascii="Arial" w:hAnsi="Arial" w:cs="Arial"/>
          <w:b w:val="0"/>
          <w:i w:val="0"/>
          <w:sz w:val="20"/>
        </w:rPr>
        <w:t>Son dos estudios distintos y no se reemplazan entre sí: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Layout w:type="fixed"/>
        <w:tblW w:w="9185" w:type="dxa"/>
      </w:tblPr>
      <w:tblGrid>
        <w:gridCol w:w="1701"/>
        <w:gridCol w:w="3742"/>
        <w:gridCol w:w="3742"/>
      </w:tblGrid>
      <w:tr>
        <w:trPr>
          <w:tblHeader w:val="true"/>
        </w:trPr>
        <w:tc>
          <w:tcPr>
            <w:tcW w:type="dxa" w:w="1701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ASPECTO</w:t>
            </w:r>
          </w:p>
        </w:tc>
        <w:tc>
          <w:tcPr>
            <w:tcW w:type="dxa" w:w="3742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GESTIÓN DE RIESGOS EN LA EJECUCIÓN DE OBRA (este estudio)</w:t>
            </w:r>
          </w:p>
        </w:tc>
        <w:tc>
          <w:tcPr>
            <w:tcW w:type="dxa" w:w="3742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EVALUACIÓN DE RIESGO DE DESASTRES (EVAR)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Norma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Ley N.° 32069 y su Reglamento (D.S. N.° 009-2025-EF), artículo 156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Ley N.° 29664 (SINAGERD) y Manual del CENEPRED (R.J. N.° 112-2014-CENEPRED/J)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Pregunta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¿Qué puede salir mal al construir la obra y quién lo gestiona?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¿Qué peligros naturales amenazan a la población y a la infraestructura?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Riesgos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Técnicos, de diseño, prediales, permisos, sociales, económicos, clima y naturaleza durante la obra, seguridad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Peligros naturales (inundación, movimientos en masa, sismo) y vulnerabilidad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Método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Probabilidad x impacto en costo y plazo; valor monetario esperado; Monte Carlo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Peligro x vulnerabilidad con ponderación de parámetros (Saaty)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Producto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Matriz de riesgos con responsables, asignación y plan de respuesta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Mapas de peligro, vulnerabilidad y riesgo, y medidas de control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Momento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Expediente técnico y de contratación; seguimiento en obra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Formulación del proyecto y planificación territorial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Elabora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Área usuaria con la dependencia encargada de las contrataciones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Evaluador de riesgo acreditado por el CENEPRED</w:t>
            </w:r>
          </w:p>
        </w:tc>
      </w:tr>
    </w:tbl>
    <w:p>
      <w:pPr>
        <w:spacing w:before="0" w:after="80" w:line="276" w:lineRule="auto"/>
        <w:jc w:val="both"/>
      </w:pPr>
    </w:p>
    <w:p>
      <w:pPr>
        <w:spacing w:before="0" w:after="120" w:line="276" w:lineRule="auto"/>
        <w:jc w:val="both"/>
      </w:pPr>
      <w:r>
        <w:rPr>
          <w:rFonts w:ascii="Arial" w:hAnsi="Arial" w:cs="Arial"/>
          <w:b w:val="0"/>
          <w:i w:val="0"/>
          <w:sz w:val="20"/>
        </w:rPr>
        <w:t>Los peligros naturales que pueden ocurrir durante la obra (lluvias, crecidas, deslizamientos, sismo) sí se incluyen en este estudio, pero solo por su efecto en la ejecución.</w:t>
      </w:r>
    </w:p>
    <w:p>
      <w:pPr>
        <w:pStyle w:val="Heading2"/>
        <w:keepNext/>
        <w:spacing w:before="160" w:after="120"/>
      </w:pPr>
      <w:r>
        <w:rPr>
          <w:rFonts w:ascii="Arial" w:hAnsi="Arial" w:cs="Arial"/>
          <w:b/>
          <w:i w:val="0"/>
          <w:color w:val="1F4E79"/>
          <w:sz w:val="21"/>
        </w:rPr>
        <w:t>1.4 Datos del proyecto</w:t>
      </w:r>
    </w:p>
    <w:p>
      <w:pPr>
        <w:keepNext/>
        <w:spacing w:before="80" w:after="60" w:line="276" w:lineRule="auto"/>
        <w:jc w:val="center"/>
      </w:pPr>
      <w:r>
        <w:rPr>
          <w:rFonts w:ascii="Arial" w:hAnsi="Arial" w:cs="Arial"/>
          <w:b/>
          <w:i w:val="0"/>
          <w:sz w:val="18"/>
        </w:rPr>
        <w:t>Tabla N.° 01: Datos generales del proyecto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Layout w:type="fixed"/>
        <w:tblW w:w="9072" w:type="dxa"/>
      </w:tblPr>
      <w:tblGrid>
        <w:gridCol w:w="2381"/>
        <w:gridCol w:w="4082"/>
        <w:gridCol w:w="2608"/>
      </w:tblGrid>
      <w:tr>
        <w:trPr>
          <w:tblHeader w:val="true"/>
        </w:trPr>
        <w:tc>
          <w:tcPr>
            <w:tcW w:type="dxa" w:w="2381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CONCEPTO</w:t>
            </w:r>
          </w:p>
        </w:tc>
        <w:tc>
          <w:tcPr>
            <w:tcW w:type="dxa" w:w="4082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VALOR</w:t>
            </w:r>
          </w:p>
        </w:tc>
        <w:tc>
          <w:tcPr>
            <w:tcW w:type="dxa" w:w="2608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FUENTE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CUI / código de idea</w:t>
            </w:r>
          </w:p>
        </w:tc>
        <w:tc>
          <w:tcPr>
            <w:tcW w:type="dxa" w:w="4082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2673852 / 313790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Inventario vial / resumen ejecutivo de la FTE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Entidad</w:t>
            </w:r>
          </w:p>
        </w:tc>
        <w:tc>
          <w:tcPr>
            <w:tcW w:type="dxa" w:w="4082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Gobierno Regional San Martín - Dirección Regional de Transportes y Comunicaciones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FTE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Unidad ejecutora presupuestal</w:t>
            </w:r>
          </w:p>
        </w:tc>
        <w:tc>
          <w:tcPr>
            <w:tcW w:type="dxa" w:w="4082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925 - Región San Martín - Transportes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FTE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Ruta y tramo</w:t>
            </w:r>
          </w:p>
        </w:tc>
        <w:tc>
          <w:tcPr>
            <w:tcW w:type="dxa" w:w="4082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SM-107, Tingo de Ponasa - Shamboyacu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Inventario vial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Progresivas</w:t>
            </w:r>
          </w:p>
        </w:tc>
        <w:tc>
          <w:tcPr>
            <w:tcW w:type="dxa" w:w="4082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19+343.39 a 44+693.39 (25.350 km)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Inventario vial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Situación actual</w:t>
            </w:r>
          </w:p>
        </w:tc>
        <w:tc>
          <w:tcPr>
            <w:tcW w:type="dxa" w:w="4082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Calzada de 4.50 a 6.20 m, tratamiento superficial tipo slurry deteriorado, material de préstamo y terreno natural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Inventario vial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Situación con proyecto</w:t>
            </w:r>
          </w:p>
        </w:tc>
        <w:tc>
          <w:tcPr>
            <w:tcW w:type="dxa" w:w="4082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Calzada de 6.00 m y bermas de 0.50 m con carpeta asfáltica en caliente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FTE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IMDA actual / proyectado</w:t>
            </w:r>
          </w:p>
        </w:tc>
        <w:tc>
          <w:tcPr>
            <w:tcW w:type="dxa" w:w="4082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254 / 298 veh/día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FTE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Población beneficiaria directa</w:t>
            </w:r>
          </w:p>
        </w:tc>
        <w:tc>
          <w:tcPr>
            <w:tcW w:type="dxa" w:w="4082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11,960 habitantes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FTE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Costo directo</w:t>
            </w:r>
          </w:p>
        </w:tc>
        <w:tc>
          <w:tcPr>
            <w:tcW w:type="dxa" w:w="4082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S/ 88,262,797.61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Presupuesto S10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Presupuesto de obra (con IGV)</w:t>
            </w:r>
          </w:p>
        </w:tc>
        <w:tc>
          <w:tcPr>
            <w:tcW w:type="dxa" w:w="4082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S/ 122,376,368.88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Presupuesto S10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Costo total de inversión</w:t>
            </w:r>
          </w:p>
        </w:tc>
        <w:tc>
          <w:tcPr>
            <w:tcW w:type="dxa" w:w="4082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S/ 132,696,945.59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Presupuesto S10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Plazo de ejecución</w:t>
            </w:r>
          </w:p>
        </w:tc>
        <w:tc>
          <w:tcPr>
            <w:tcW w:type="dxa" w:w="4082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720 días calendario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Resumen ejecutivo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Modalidad y financiamiento</w:t>
            </w:r>
          </w:p>
        </w:tc>
        <w:tc>
          <w:tcPr>
            <w:tcW w:type="dxa" w:w="4082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Administración indirecta - por contrata; recursos determinados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FTE</w:t>
            </w:r>
          </w:p>
        </w:tc>
      </w:tr>
    </w:tbl>
    <w:p>
      <w:pPr>
        <w:spacing w:before="0" w:after="80" w:line="276" w:lineRule="auto"/>
        <w:jc w:val="both"/>
      </w:pPr>
    </w:p>
    <w:p>
      <w:pPr>
        <w:pStyle w:val="Heading1"/>
        <w:keepNext/>
        <w:spacing w:before="240" w:after="120"/>
      </w:pPr>
      <w:r>
        <w:rPr>
          <w:rFonts w:ascii="Arial" w:hAnsi="Arial" w:cs="Arial"/>
          <w:b/>
          <w:i w:val="0"/>
          <w:color w:val="1F4E79"/>
          <w:sz w:val="24"/>
        </w:rPr>
        <w:t>2. MARCO NORMATIVO</w:t>
      </w:r>
    </w:p>
    <w:p>
      <w:pPr>
        <w:spacing w:before="0" w:after="120" w:line="276" w:lineRule="auto"/>
        <w:jc w:val="both"/>
      </w:pPr>
      <w:r>
        <w:rPr>
          <w:rFonts w:ascii="Arial" w:hAnsi="Arial" w:cs="Arial"/>
          <w:b/>
          <w:i w:val="0"/>
          <w:sz w:val="20"/>
        </w:rPr>
        <w:t>Normas de contratación pública (vigentes desde el 22 de abril de 2025):</w:t>
      </w:r>
    </w:p>
    <w:p>
      <w:pPr>
        <w:spacing w:before="0" w:after="60" w:line="276" w:lineRule="auto"/>
        <w:ind w:left="510" w:hanging="255"/>
        <w:jc w:val="both"/>
      </w:pPr>
      <w:r>
        <w:rPr>
          <w:rFonts w:ascii="Arial" w:hAnsi="Arial" w:cs="Arial"/>
          <w:b w:val="0"/>
          <w:i w:val="0"/>
          <w:sz w:val="20"/>
        </w:rPr>
        <w:t>•  Ley N.° 32069, Ley General de Contrataciones Públicas.</w:t>
      </w:r>
    </w:p>
    <w:p>
      <w:pPr>
        <w:spacing w:before="0" w:after="60" w:line="276" w:lineRule="auto"/>
        <w:ind w:left="510" w:hanging="255"/>
        <w:jc w:val="both"/>
      </w:pPr>
      <w:r>
        <w:rPr>
          <w:rFonts w:ascii="Arial" w:hAnsi="Arial" w:cs="Arial"/>
          <w:b w:val="0"/>
          <w:i w:val="0"/>
          <w:sz w:val="20"/>
        </w:rPr>
        <w:t>•  Reglamento de la Ley N.° 32069, aprobado por D.S. N.° 009-2025-EF, y sus modificatorias. El artículo 156 regula la gestión de riesgos en obras: en las obras segmentadas como avanzadas la matriz de riesgos forma parte del expediente de contratación y contiene, como mínimo, la identificación de los riesgos, su responsable y su análisis cualitativo y cuantitativo; la entidad asigna cada riesgo a la parte que puede gestionarlo y mitigarlo; y, cuando la cuantía supera los S/ 50 000 000, conforma un comité de gestión de riesgos que acompaña las fases de la contratación, aprueba los riesgos y oportunidades nuevos y sus respuestas, y hace el seguimiento de las alertas tempranas.</w:t>
      </w:r>
    </w:p>
    <w:p>
      <w:pPr>
        <w:spacing w:before="0" w:after="60" w:line="276" w:lineRule="auto"/>
        <w:ind w:left="510" w:hanging="255"/>
        <w:jc w:val="both"/>
      </w:pPr>
      <w:r>
        <w:rPr>
          <w:rFonts w:ascii="Arial" w:hAnsi="Arial" w:cs="Arial"/>
          <w:b w:val="0"/>
          <w:i w:val="0"/>
          <w:sz w:val="20"/>
        </w:rPr>
        <w:t>•  Comunicado N.° 016-2025-OECE: la aplicación de los artículos 128 y 156 del reglamento es obligatoria y no depende de la emisión de la directiva de la Dirección General de Abastecimiento.</w:t>
      </w:r>
    </w:p>
    <w:p>
      <w:pPr>
        <w:spacing w:before="0" w:after="60" w:line="276" w:lineRule="auto"/>
        <w:ind w:left="510" w:hanging="255"/>
        <w:jc w:val="both"/>
      </w:pPr>
      <w:r>
        <w:rPr>
          <w:rFonts w:ascii="Arial" w:hAnsi="Arial" w:cs="Arial"/>
          <w:b w:val="0"/>
          <w:i w:val="0"/>
          <w:sz w:val="20"/>
        </w:rPr>
        <w:t>•  La Directiva N.° 012-2017-OSCE/CD, Gestión de riesgos en la planificación de la ejecución de obras, fue derogada por la Resolución N.° D000129-2025-OECE-PRE. En este estudio solo se usa como referencia de método (escalas de probabilidad e impacto y formatos), por ser compatible con el reglamento vigente. Solo rige para los procedimientos convocados antes del 22 de abril de 2025.</w:t>
      </w:r>
    </w:p>
    <w:p>
      <w:pPr>
        <w:spacing w:before="0" w:after="60" w:line="276" w:lineRule="auto"/>
        <w:ind w:left="510" w:hanging="255"/>
        <w:jc w:val="both"/>
      </w:pPr>
      <w:r>
        <w:rPr>
          <w:rFonts w:ascii="Arial" w:hAnsi="Arial" w:cs="Arial"/>
          <w:b w:val="0"/>
          <w:i w:val="0"/>
          <w:sz w:val="20"/>
        </w:rPr>
        <w:t>•  Directiva de la Dirección General de Abastecimiento sobre gestión de riesgos anunciada en el artículo 156: a la fecha de este estudio no se ha identificado su publicación. Si se publica antes de la convocatoria, la matriz debe adecuarse a sus formatos.</w:t>
      </w:r>
    </w:p>
    <w:p>
      <w:pPr>
        <w:spacing w:before="80" w:after="120" w:line="276" w:lineRule="auto"/>
        <w:jc w:val="both"/>
      </w:pPr>
      <w:r>
        <w:rPr>
          <w:rFonts w:ascii="Arial" w:hAnsi="Arial" w:cs="Arial"/>
          <w:b/>
          <w:i w:val="0"/>
          <w:sz w:val="20"/>
        </w:rPr>
        <w:t>Normas técnicas y sectoriales:</w:t>
      </w:r>
    </w:p>
    <w:p>
      <w:pPr>
        <w:spacing w:before="0" w:after="60" w:line="276" w:lineRule="auto"/>
        <w:ind w:left="510" w:hanging="255"/>
        <w:jc w:val="both"/>
      </w:pPr>
      <w:r>
        <w:rPr>
          <w:rFonts w:ascii="Arial" w:hAnsi="Arial" w:cs="Arial"/>
          <w:b w:val="0"/>
          <w:i w:val="0"/>
          <w:sz w:val="20"/>
        </w:rPr>
        <w:t>•  Manual de Carreteras: Especificaciones Técnicas Generales para Construcción EG-2013 (R.D. N.° 22-2013-MTC/14).</w:t>
      </w:r>
    </w:p>
    <w:p>
      <w:pPr>
        <w:spacing w:before="0" w:after="60" w:line="276" w:lineRule="auto"/>
        <w:ind w:left="510" w:hanging="255"/>
        <w:jc w:val="both"/>
      </w:pPr>
      <w:r>
        <w:rPr>
          <w:rFonts w:ascii="Arial" w:hAnsi="Arial" w:cs="Arial"/>
          <w:b w:val="0"/>
          <w:i w:val="0"/>
          <w:sz w:val="20"/>
        </w:rPr>
        <w:t>•  Manual de Carreteras: Diseño Geométrico DG-2018 (R.D. N.° 03-2018-MTC/14).</w:t>
      </w:r>
    </w:p>
    <w:p>
      <w:pPr>
        <w:spacing w:before="0" w:after="60" w:line="276" w:lineRule="auto"/>
        <w:ind w:left="510" w:hanging="255"/>
        <w:jc w:val="both"/>
      </w:pPr>
      <w:r>
        <w:rPr>
          <w:rFonts w:ascii="Arial" w:hAnsi="Arial" w:cs="Arial"/>
          <w:b w:val="0"/>
          <w:i w:val="0"/>
          <w:sz w:val="20"/>
        </w:rPr>
        <w:t>•  Manual de Puentes (R.D. N.° 19-2018-MTC/14).</w:t>
      </w:r>
    </w:p>
    <w:p>
      <w:pPr>
        <w:spacing w:before="0" w:after="60" w:line="276" w:lineRule="auto"/>
        <w:ind w:left="510" w:hanging="255"/>
        <w:jc w:val="both"/>
      </w:pPr>
      <w:r>
        <w:rPr>
          <w:rFonts w:ascii="Arial" w:hAnsi="Arial" w:cs="Arial"/>
          <w:b w:val="0"/>
          <w:i w:val="0"/>
          <w:sz w:val="20"/>
        </w:rPr>
        <w:t>•  Manual de Carreteras: Suelos, Geología, Geotecnia y Pavimentos (R.D. N.° 10-2014-MTC/14).</w:t>
      </w:r>
    </w:p>
    <w:p>
      <w:pPr>
        <w:spacing w:before="0" w:after="60" w:line="276" w:lineRule="auto"/>
        <w:ind w:left="510" w:hanging="255"/>
        <w:jc w:val="both"/>
      </w:pPr>
      <w:r>
        <w:rPr>
          <w:rFonts w:ascii="Arial" w:hAnsi="Arial" w:cs="Arial"/>
          <w:b w:val="0"/>
          <w:i w:val="0"/>
          <w:sz w:val="20"/>
        </w:rPr>
        <w:t>•  Manual de Hidrología, Hidráulica y Drenaje (R.D. N.° 20-2011-MTC/14).</w:t>
      </w:r>
    </w:p>
    <w:p>
      <w:pPr>
        <w:spacing w:before="0" w:after="60" w:line="276" w:lineRule="auto"/>
        <w:ind w:left="510" w:hanging="255"/>
        <w:jc w:val="both"/>
      </w:pPr>
      <w:r>
        <w:rPr>
          <w:rFonts w:ascii="Arial" w:hAnsi="Arial" w:cs="Arial"/>
          <w:b w:val="0"/>
          <w:i w:val="0"/>
          <w:sz w:val="20"/>
        </w:rPr>
        <w:t>•  Manual de Dispositivos de Control del Tránsito Automotor para Calles y Carreteras (R.D. N.° 26-2024-MTC/18).</w:t>
      </w:r>
    </w:p>
    <w:p>
      <w:pPr>
        <w:spacing w:before="0" w:after="60" w:line="276" w:lineRule="auto"/>
        <w:ind w:left="510" w:hanging="255"/>
        <w:jc w:val="both"/>
      </w:pPr>
      <w:r>
        <w:rPr>
          <w:rFonts w:ascii="Arial" w:hAnsi="Arial" w:cs="Arial"/>
          <w:b w:val="0"/>
          <w:i w:val="0"/>
          <w:sz w:val="20"/>
        </w:rPr>
        <w:t>•  Manual de Inventarios Viales (R.D. N.° 09-2014-MTC/14 y R.D. N.° 022-2015-MTC/14).</w:t>
      </w:r>
    </w:p>
    <w:p>
      <w:pPr>
        <w:spacing w:before="80" w:after="120" w:line="276" w:lineRule="auto"/>
        <w:jc w:val="both"/>
      </w:pPr>
      <w:r>
        <w:rPr>
          <w:rFonts w:ascii="Arial" w:hAnsi="Arial" w:cs="Arial"/>
          <w:b/>
          <w:i w:val="0"/>
          <w:sz w:val="20"/>
        </w:rPr>
        <w:t>Otras normas que intervienen en la respuesta a los riesgos:</w:t>
      </w:r>
    </w:p>
    <w:p>
      <w:pPr>
        <w:spacing w:before="0" w:after="60" w:line="276" w:lineRule="auto"/>
        <w:ind w:left="510" w:hanging="255"/>
        <w:jc w:val="both"/>
      </w:pPr>
      <w:r>
        <w:rPr>
          <w:rFonts w:ascii="Arial" w:hAnsi="Arial" w:cs="Arial"/>
          <w:b w:val="0"/>
          <w:i w:val="0"/>
          <w:sz w:val="20"/>
        </w:rPr>
        <w:t>•  Ley N.° 29664, Sistema Nacional de Gestión del Riesgo de Desastres, y su reglamento (D.S. N.° 048-2011-PCM): respuesta ante emergencias durante la obra.</w:t>
      </w:r>
    </w:p>
    <w:p>
      <w:pPr>
        <w:spacing w:before="0" w:after="60" w:line="276" w:lineRule="auto"/>
        <w:ind w:left="510" w:hanging="255"/>
        <w:jc w:val="both"/>
      </w:pPr>
      <w:r>
        <w:rPr>
          <w:rFonts w:ascii="Arial" w:hAnsi="Arial" w:cs="Arial"/>
          <w:b w:val="0"/>
          <w:i w:val="0"/>
          <w:sz w:val="20"/>
        </w:rPr>
        <w:t>•  Ley N.° 29783, Ley de Seguridad y Salud en el Trabajo, y D.S. N.° 011-2019-TR, Reglamento de Seguridad y Salud en el Trabajo para el Sector Construcción.</w:t>
      </w:r>
    </w:p>
    <w:p>
      <w:pPr>
        <w:spacing w:before="0" w:after="60" w:line="276" w:lineRule="auto"/>
        <w:ind w:left="510" w:hanging="255"/>
        <w:jc w:val="both"/>
      </w:pPr>
      <w:r>
        <w:rPr>
          <w:rFonts w:ascii="Arial" w:hAnsi="Arial" w:cs="Arial"/>
          <w:b w:val="0"/>
          <w:i w:val="0"/>
          <w:sz w:val="20"/>
        </w:rPr>
        <w:t>•  Ley N.° 27446, Sistema Nacional de Evaluación del Impacto Ambiental, y su reglamento.</w:t>
      </w:r>
    </w:p>
    <w:p>
      <w:pPr>
        <w:spacing w:before="0" w:after="60" w:line="276" w:lineRule="auto"/>
        <w:ind w:left="510" w:hanging="255"/>
        <w:jc w:val="both"/>
      </w:pPr>
      <w:r>
        <w:rPr>
          <w:rFonts w:ascii="Arial" w:hAnsi="Arial" w:cs="Arial"/>
          <w:b w:val="0"/>
          <w:i w:val="0"/>
          <w:sz w:val="20"/>
        </w:rPr>
        <w:t>•  D.S. N.° 011-2022-MC, Reglamento de Intervenciones Arqueológicas.</w:t>
      </w:r>
    </w:p>
    <w:p>
      <w:pPr>
        <w:spacing w:before="0" w:after="60" w:line="276" w:lineRule="auto"/>
        <w:ind w:left="510" w:hanging="255"/>
        <w:jc w:val="both"/>
      </w:pPr>
      <w:r>
        <w:rPr>
          <w:rFonts w:ascii="Arial" w:hAnsi="Arial" w:cs="Arial"/>
          <w:b w:val="0"/>
          <w:i w:val="0"/>
          <w:sz w:val="20"/>
        </w:rPr>
        <w:t>•  Ley N.° 30025, que facilita la adquisición, expropiación y posesión de bienes inmuebles para obras de infraestructura.</w:t>
      </w:r>
    </w:p>
    <w:p>
      <w:pPr>
        <w:spacing w:before="0" w:after="60" w:line="276" w:lineRule="auto"/>
        <w:ind w:left="510" w:hanging="255"/>
        <w:jc w:val="both"/>
      </w:pPr>
      <w:r>
        <w:rPr>
          <w:rFonts w:ascii="Arial" w:hAnsi="Arial" w:cs="Arial"/>
          <w:b w:val="0"/>
          <w:i w:val="0"/>
          <w:sz w:val="20"/>
        </w:rPr>
        <w:t>•  Ley N.° 29338, Ley de Recursos Hídricos: autorizaciones de uso de agua y de extracción de material de acarreo en cauces.</w:t>
      </w:r>
    </w:p>
    <w:p>
      <w:pPr>
        <w:spacing w:before="80" w:after="120" w:line="276" w:lineRule="auto"/>
        <w:jc w:val="both"/>
      </w:pPr>
      <w:r>
        <w:rPr>
          <w:rFonts w:ascii="Arial" w:hAnsi="Arial" w:cs="Arial"/>
          <w:b w:val="0"/>
          <w:i/>
          <w:sz w:val="20"/>
        </w:rPr>
        <w:t>Referencias de método: PMI, Guía del PMBOK y The Standard for Risk Management in Portfolios, Programs and Projects; ISO 31000:2018, Gestión del riesgo.</w:t>
      </w:r>
    </w:p>
    <w:p>
      <w:pPr>
        <w:pStyle w:val="Heading1"/>
        <w:keepNext/>
        <w:spacing w:before="240" w:after="120"/>
      </w:pPr>
      <w:r>
        <w:rPr>
          <w:rFonts w:ascii="Arial" w:hAnsi="Arial" w:cs="Arial"/>
          <w:b/>
          <w:i w:val="0"/>
          <w:color w:val="1F4E79"/>
          <w:sz w:val="24"/>
        </w:rPr>
        <w:t>3. DESCRIPCIÓN DEL PROYECTO Y DE SU ENTORNO</w:t>
      </w:r>
    </w:p>
    <w:p>
      <w:pPr>
        <w:pStyle w:val="Heading2"/>
        <w:keepNext/>
        <w:spacing w:before="160" w:after="120"/>
      </w:pPr>
      <w:r>
        <w:rPr>
          <w:rFonts w:ascii="Arial" w:hAnsi="Arial" w:cs="Arial"/>
          <w:b/>
          <w:i w:val="0"/>
          <w:color w:val="1F4E79"/>
          <w:sz w:val="21"/>
        </w:rPr>
        <w:t>3.1 Ubicación y trazo</w:t>
      </w:r>
    </w:p>
    <w:p>
      <w:pPr>
        <w:spacing w:before="0" w:after="120" w:line="276" w:lineRule="auto"/>
        <w:jc w:val="both"/>
      </w:pPr>
      <w:r>
        <w:rPr>
          <w:rFonts w:ascii="Arial" w:hAnsi="Arial" w:cs="Arial"/>
          <w:b w:val="0"/>
          <w:i w:val="0"/>
          <w:sz w:val="20"/>
        </w:rPr>
        <w:t>La carretera departamental SM-107 empalma con la ruta nacional PE-5N en Picota. El tramo del proyecto empieza en Tingo de Ponasa (km 19+343.39) y termina en Shamboyacu (km 44+693.39). Atraviesa Aypena, Nuevo América, Leoncio Prado, San Antonio, Huañipo, Paucar y Alfonso Ugarte, y se conecta con las rutas vecinales SM-803 y SM-806 en Tingo de Ponasa y con la SM-804 en Shamboyacu.</w:t>
      </w:r>
    </w:p>
    <w:p>
      <w:pPr>
        <w:spacing w:before="0" w:after="120" w:line="276" w:lineRule="auto"/>
        <w:jc w:val="both"/>
      </w:pPr>
      <w:r>
        <w:rPr>
          <w:rFonts w:ascii="Arial" w:hAnsi="Arial" w:cs="Arial"/>
          <w:b w:val="0"/>
          <w:i w:val="0"/>
          <w:sz w:val="20"/>
        </w:rPr>
        <w:t>Para ubicar los riesgos se georreferenció el eje del plano clave PC-01 con su cuadrícula UTM (WGS 84, zona 18 S). Se comprobó con los puntos geodésicos y BM del inventario vial: 8 de ellos quedan a menos de 12 m del eje. Las progresivas que resultan coinciden con las del inventario (BM Huañipo en 33+803 frente a 33+780 de la plaza; BM Aypena en 21+993 frente a 21+940). El eje del PC-01 mide 24.77 km hasta el km 44+090; el tramo final hasta 44+693.39 se completó en línea recta (referencial).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262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_map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26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" w:line="276" w:lineRule="auto"/>
        <w:jc w:val="center"/>
      </w:pPr>
      <w:r>
        <w:rPr>
          <w:rFonts w:ascii="Arial" w:hAnsi="Arial" w:cs="Arial"/>
          <w:b/>
          <w:i w:val="0"/>
          <w:sz w:val="18"/>
        </w:rPr>
        <w:t>Figura N.° 01: Ubicación del tramo y de los sectores y puntos con riesgo identificado</w:t>
      </w:r>
    </w:p>
    <w:p>
      <w:pPr>
        <w:spacing w:before="0" w:after="160" w:line="276" w:lineRule="auto"/>
        <w:jc w:val="center"/>
      </w:pPr>
      <w:r>
        <w:rPr>
          <w:rFonts w:ascii="Arial" w:hAnsi="Arial" w:cs="Arial"/>
          <w:b w:val="0"/>
          <w:i/>
          <w:sz w:val="16"/>
        </w:rPr>
        <w:t>Fuente: eje del plano clave PC-01 georreferenciado; sectores del estudio de inventario vial; relieve del modelo Copernicus GLO-30.</w:t>
      </w:r>
    </w:p>
    <w:p>
      <w:pPr>
        <w:pStyle w:val="Heading2"/>
        <w:keepNext/>
        <w:spacing w:before="160" w:after="120"/>
      </w:pPr>
      <w:r>
        <w:rPr>
          <w:rFonts w:ascii="Arial" w:hAnsi="Arial" w:cs="Arial"/>
          <w:b/>
          <w:i w:val="0"/>
          <w:color w:val="1F4E79"/>
          <w:sz w:val="21"/>
        </w:rPr>
        <w:t>3.2 Componentes y costos de la obra</w:t>
      </w:r>
    </w:p>
    <w:p>
      <w:pPr>
        <w:keepNext/>
        <w:spacing w:before="80" w:after="60" w:line="276" w:lineRule="auto"/>
        <w:jc w:val="center"/>
      </w:pPr>
      <w:r>
        <w:rPr>
          <w:rFonts w:ascii="Arial" w:hAnsi="Arial" w:cs="Arial"/>
          <w:b/>
          <w:i w:val="0"/>
          <w:sz w:val="18"/>
        </w:rPr>
        <w:t>Tabla N.° 02: Componentes del costo directo (presupuesto S10)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Layout w:type="fixed"/>
        <w:tblW w:w="8505" w:type="dxa"/>
      </w:tblPr>
      <w:tblGrid>
        <w:gridCol w:w="4819"/>
        <w:gridCol w:w="2268"/>
        <w:gridCol w:w="1417"/>
      </w:tblGrid>
      <w:tr>
        <w:trPr>
          <w:tblHeader w:val="true"/>
        </w:trPr>
        <w:tc>
          <w:tcPr>
            <w:tcW w:type="dxa" w:w="4819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COMPONENTE</w:t>
            </w:r>
          </w:p>
        </w:tc>
        <w:tc>
          <w:tcPr>
            <w:tcW w:type="dxa" w:w="2268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COSTO DIRECTO (S/)</w:t>
            </w:r>
          </w:p>
        </w:tc>
        <w:tc>
          <w:tcPr>
            <w:tcW w:type="dxa" w:w="1417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% DEL CD</w:t>
            </w:r>
          </w:p>
        </w:tc>
      </w:tr>
      <w:tr>
        <w:tc>
          <w:tcPr>
            <w:tcW w:type="dxa" w:w="4819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Obras provisionales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626,158.06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0.7 %</w:t>
            </w:r>
          </w:p>
        </w:tc>
      </w:tr>
      <w:tr>
        <w:tc>
          <w:tcPr>
            <w:tcW w:type="dxa" w:w="4819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Seguridad y salud ocupacional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268,294.80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0.3 %</w:t>
            </w:r>
          </w:p>
        </w:tc>
      </w:tr>
      <w:tr>
        <w:tc>
          <w:tcPr>
            <w:tcW w:type="dxa" w:w="4819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Demoliciones y desmontajes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7,286,663.26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8.3 %</w:t>
            </w:r>
          </w:p>
        </w:tc>
      </w:tr>
      <w:tr>
        <w:tc>
          <w:tcPr>
            <w:tcW w:type="dxa" w:w="4819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Obras preliminares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1,148,377.50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1.3 %</w:t>
            </w:r>
          </w:p>
        </w:tc>
      </w:tr>
      <w:tr>
        <w:tc>
          <w:tcPr>
            <w:tcW w:type="dxa" w:w="4819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Movimiento de tierras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13,693,530.47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15.5 %</w:t>
            </w:r>
          </w:p>
        </w:tc>
      </w:tr>
      <w:tr>
        <w:tc>
          <w:tcPr>
            <w:tcW w:type="dxa" w:w="4819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Pavimentos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17,951,289.35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20.3 %</w:t>
            </w:r>
          </w:p>
        </w:tc>
      </w:tr>
      <w:tr>
        <w:tc>
          <w:tcPr>
            <w:tcW w:type="dxa" w:w="4819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Transporte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25,602,427.13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29.0 %</w:t>
            </w:r>
          </w:p>
        </w:tc>
      </w:tr>
      <w:tr>
        <w:tc>
          <w:tcPr>
            <w:tcW w:type="dxa" w:w="4819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Obras de arte y drenaje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9,537,008.29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10.8 %</w:t>
            </w:r>
          </w:p>
        </w:tc>
      </w:tr>
      <w:tr>
        <w:tc>
          <w:tcPr>
            <w:tcW w:type="dxa" w:w="4819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Señalización y seguridad vial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1,089,422.57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1.2 %</w:t>
            </w:r>
          </w:p>
        </w:tc>
      </w:tr>
      <w:tr>
        <w:tc>
          <w:tcPr>
            <w:tcW w:type="dxa" w:w="4819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Puentes (5)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9,869,727.35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11.2 %</w:t>
            </w:r>
          </w:p>
        </w:tc>
      </w:tr>
      <w:tr>
        <w:tc>
          <w:tcPr>
            <w:tcW w:type="dxa" w:w="4819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Plan de manejo ambiental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1,177,898.83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1.3 %</w:t>
            </w:r>
          </w:p>
        </w:tc>
      </w:tr>
      <w:tr>
        <w:tc>
          <w:tcPr>
            <w:tcW w:type="dxa" w:w="4819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Plan arqueológico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12,000.00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0.0 %</w:t>
            </w:r>
          </w:p>
        </w:tc>
      </w:tr>
      <w:tr>
        <w:tc>
          <w:tcPr>
            <w:tcW w:type="dxa" w:w="4819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COSTO DIRECTO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88,262,797.61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100.0 %</w:t>
            </w:r>
          </w:p>
        </w:tc>
      </w:tr>
    </w:tbl>
    <w:p>
      <w:pPr>
        <w:spacing w:before="0" w:after="80" w:line="276" w:lineRule="auto"/>
        <w:jc w:val="both"/>
      </w:pPr>
    </w:p>
    <w:p>
      <w:pPr>
        <w:spacing w:before="0" w:after="120" w:line="276" w:lineRule="auto"/>
        <w:jc w:val="both"/>
      </w:pPr>
      <w:r>
        <w:rPr>
          <w:rFonts w:ascii="Arial" w:hAnsi="Arial" w:cs="Arial"/>
          <w:b w:val="0"/>
          <w:i w:val="0"/>
          <w:sz w:val="20"/>
        </w:rPr>
        <w:t>El transporte (29.0 %) y el movimiento de tierras (15.5 %) suman casi la mitad del costo directo: los riesgos de canteras, distancias de transporte, depósitos de material excedente y suelos de subrasante tienen el mayor peso económico.</w:t>
      </w:r>
    </w:p>
    <w:p>
      <w:pPr>
        <w:keepNext/>
        <w:spacing w:before="80" w:after="60" w:line="276" w:lineRule="auto"/>
        <w:jc w:val="center"/>
      </w:pPr>
      <w:r>
        <w:rPr>
          <w:rFonts w:ascii="Arial" w:hAnsi="Arial" w:cs="Arial"/>
          <w:b/>
          <w:i w:val="0"/>
          <w:sz w:val="18"/>
        </w:rPr>
        <w:t>Tabla N.° 03: Puentes a reemplazar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Layout w:type="fixed"/>
        <w:tblW w:w="9072" w:type="dxa"/>
      </w:tblPr>
      <w:tblGrid>
        <w:gridCol w:w="1701"/>
        <w:gridCol w:w="1247"/>
        <w:gridCol w:w="1020"/>
        <w:gridCol w:w="1701"/>
        <w:gridCol w:w="3402"/>
      </w:tblGrid>
      <w:tr>
        <w:trPr>
          <w:tblHeader w:val="true"/>
        </w:trPr>
        <w:tc>
          <w:tcPr>
            <w:tcW w:type="dxa" w:w="1701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PUENTE</w:t>
            </w:r>
          </w:p>
        </w:tc>
        <w:tc>
          <w:tcPr>
            <w:tcW w:type="dxa" w:w="1247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PROGRESIVA</w:t>
            </w:r>
          </w:p>
        </w:tc>
        <w:tc>
          <w:tcPr>
            <w:tcW w:type="dxa" w:w="1020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LUZ</w:t>
            </w:r>
          </w:p>
        </w:tc>
        <w:tc>
          <w:tcPr>
            <w:tcW w:type="dxa" w:w="1701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COSTO DIRECTO (S/)</w:t>
            </w:r>
          </w:p>
        </w:tc>
        <w:tc>
          <w:tcPr>
            <w:tcW w:type="dxa" w:w="3402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PUENTE EXISTENTE (INVENTARIO)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Tingo de Ponasa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20+300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40.00 m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3,619,664.38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20+300 a 20+337, viga y losa, h = 8.00 m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Barco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29+300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40.00 m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3,687,055.05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29+329 a 29+360, L = 31 m, señal de carga máx. 30 t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Paucarillo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37+870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20.00 m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1,092,279.51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37+960 a 37+974, L = 14 m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Apangurayco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38+800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15.00 m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763,556.43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38+919 a 38+929, L = 10 m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Chanchamayco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44+040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12.00 m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707,171.98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44+149 a 44+158, pontón L = 9 m</w:t>
            </w:r>
          </w:p>
        </w:tc>
      </w:tr>
    </w:tbl>
    <w:p>
      <w:pPr>
        <w:spacing w:before="0" w:after="80" w:line="276" w:lineRule="auto"/>
        <w:jc w:val="both"/>
      </w:pPr>
    </w:p>
    <w:p>
      <w:pPr>
        <w:pStyle w:val="Heading2"/>
        <w:keepNext/>
        <w:spacing w:before="160" w:after="120"/>
      </w:pPr>
      <w:r>
        <w:rPr>
          <w:rFonts w:ascii="Arial" w:hAnsi="Arial" w:cs="Arial"/>
          <w:b/>
          <w:i w:val="0"/>
          <w:color w:val="1F4E79"/>
          <w:sz w:val="21"/>
        </w:rPr>
        <w:t>3.3 Estado de la vía y puntos críticos</w:t>
      </w:r>
    </w:p>
    <w:p>
      <w:pPr>
        <w:spacing w:before="0" w:after="120" w:line="276" w:lineRule="auto"/>
        <w:jc w:val="both"/>
      </w:pPr>
      <w:r>
        <w:rPr>
          <w:rFonts w:ascii="Arial" w:hAnsi="Arial" w:cs="Arial"/>
          <w:b w:val="0"/>
          <w:i w:val="0"/>
          <w:sz w:val="20"/>
        </w:rPr>
        <w:t>El inventario vial registra, entre otros, 5 puentes, 50 alcantarillas (varias colmatadas o semicolmatadas), 28 badenes, 6 cruces de canal de regadío, 30 señales y 26 puntos o sectores críticos. La calzada tiene un solo carril de 4.50 a 6.20 m, con encalaminado, baches, pérdida del tratamiento superficial y empozamientos. Los puntos críticos que interesan a la ejecución son:</w:t>
      </w:r>
    </w:p>
    <w:p>
      <w:pPr>
        <w:keepNext/>
        <w:spacing w:before="80" w:after="60" w:line="276" w:lineRule="auto"/>
        <w:jc w:val="center"/>
      </w:pPr>
      <w:r>
        <w:rPr>
          <w:rFonts w:ascii="Arial" w:hAnsi="Arial" w:cs="Arial"/>
          <w:b/>
          <w:i w:val="0"/>
          <w:sz w:val="18"/>
        </w:rPr>
        <w:t>Tabla N.° 04: Puntos y sectores críticos del inventario vial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Layout w:type="fixed"/>
        <w:tblW w:w="9072" w:type="dxa"/>
      </w:tblPr>
      <w:tblGrid>
        <w:gridCol w:w="2835"/>
        <w:gridCol w:w="6237"/>
      </w:tblGrid>
      <w:tr>
        <w:trPr>
          <w:tblHeader w:val="true"/>
        </w:trPr>
        <w:tc>
          <w:tcPr>
            <w:tcW w:type="dxa" w:w="2835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PROGRESIVA</w:t>
            </w:r>
          </w:p>
        </w:tc>
        <w:tc>
          <w:tcPr>
            <w:tcW w:type="dxa" w:w="6236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DESCRIPCIÓN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20+337 a 20+340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Erosión h = 2.00 m (LI)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20+360 a 21+170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Inundación por cultivos de arroz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22+270; 22+800 a 22+960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Empozamiento de agua (LI)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26+924; 34+954; 40+380; 43+660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Empozamiento sin elemento de descarga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28+800 a 29+060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Material en la vía (LI)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34+766 a 34+786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Erosión h = 3 m (LD)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36+060 a 36+100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Inestabilidad de talud h = 20 m (LI)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36+380 a 36+460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Erosión h = 2.0 m (LD)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37+520 a 37+780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Inestabilidad de talud h = 30 m (LI)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39+380 a 39+840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Erosión h = 3 a 5 m (LD y LI)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42+280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Quebrada sin descarga, pendiente y contrapendiente, material de arrastre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43+620 a 43+632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Erosión h = 1.0 m (LI)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34+400 a 44+600 (varios)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Plataforma angosta</w:t>
            </w:r>
          </w:p>
        </w:tc>
      </w:tr>
    </w:tbl>
    <w:p>
      <w:pPr>
        <w:spacing w:before="0" w:after="80" w:line="276" w:lineRule="auto"/>
        <w:jc w:val="both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297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20_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9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" w:line="276" w:lineRule="auto"/>
        <w:jc w:val="center"/>
      </w:pPr>
      <w:r>
        <w:rPr>
          <w:rFonts w:ascii="Arial" w:hAnsi="Arial" w:cs="Arial"/>
          <w:b/>
          <w:i w:val="0"/>
          <w:sz w:val="18"/>
        </w:rPr>
        <w:t>Figura N.° 02: Erosión del borde de la plataforma en el km 37+223 (UTM 369850 E, 9226904 N)</w:t>
      </w:r>
    </w:p>
    <w:p>
      <w:pPr>
        <w:spacing w:before="0" w:after="160" w:line="276" w:lineRule="auto"/>
        <w:jc w:val="center"/>
      </w:pPr>
      <w:r>
        <w:rPr>
          <w:rFonts w:ascii="Arial" w:hAnsi="Arial" w:cs="Arial"/>
          <w:b w:val="0"/>
          <w:i/>
          <w:sz w:val="16"/>
        </w:rPr>
        <w:t>Fuente: estudio de inventario vial, panel fotográfico (setiembre 2026); progresiva obtenida con el eje georreferenciado.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297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24_1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9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" w:line="276" w:lineRule="auto"/>
        <w:jc w:val="center"/>
      </w:pPr>
      <w:r>
        <w:rPr>
          <w:rFonts w:ascii="Arial" w:hAnsi="Arial" w:cs="Arial"/>
          <w:b/>
          <w:i w:val="0"/>
          <w:sz w:val="18"/>
        </w:rPr>
        <w:t>Figura N.° 03: Empozamiento y pérdida de rodadura en el km 42+593 (UTM 373093 E, 9223667 N)</w:t>
      </w:r>
    </w:p>
    <w:p>
      <w:pPr>
        <w:spacing w:before="0" w:after="160" w:line="276" w:lineRule="auto"/>
        <w:jc w:val="center"/>
      </w:pPr>
      <w:r>
        <w:rPr>
          <w:rFonts w:ascii="Arial" w:hAnsi="Arial" w:cs="Arial"/>
          <w:b w:val="0"/>
          <w:i/>
          <w:sz w:val="16"/>
        </w:rPr>
        <w:t>Fuente: estudio de inventario vial, panel fotográfico (setiembre 2026); progresiva obtenida con el eje georreferenciado.</w:t>
      </w:r>
    </w:p>
    <w:p>
      <w:pPr>
        <w:pStyle w:val="Heading2"/>
        <w:keepNext/>
        <w:spacing w:before="160" w:after="120"/>
      </w:pPr>
      <w:r>
        <w:rPr>
          <w:rFonts w:ascii="Arial" w:hAnsi="Arial" w:cs="Arial"/>
          <w:b/>
          <w:i w:val="0"/>
          <w:color w:val="1F4E79"/>
          <w:sz w:val="21"/>
        </w:rPr>
        <w:t>3.4 Relieve</w:t>
      </w:r>
    </w:p>
    <w:p>
      <w:pPr>
        <w:spacing w:before="0" w:after="120" w:line="276" w:lineRule="auto"/>
        <w:jc w:val="both"/>
      </w:pPr>
      <w:r>
        <w:rPr>
          <w:rFonts w:ascii="Arial" w:hAnsi="Arial" w:cs="Arial"/>
          <w:b w:val="0"/>
          <w:i w:val="0"/>
          <w:sz w:val="20"/>
        </w:rPr>
        <w:t>El perfil del terreno se obtuvo del modelo digital Copernicus GLO-30 (30 m), que incluye la altura de la vegetación; sus valores son referenciales. Del inicio al km 23 el terreno es llano (cotas de 236 a 244 msnm, pendientes del entorno menores de 15°), con arrozales y zonas inundables. Desde el km 23 el terreno es ondulado: cotas de 242 a 320 msnm, relieve local de 20 a 90 m y laderas de hasta 40°, con los valores mayores entre los km 34 y 37 y entre los km 41 y 44. Allí están los taludes inestables y las erosiones del inventario. La FTE clasifica la orografía como plana, lo que no corresponde a la segunda mitad del tramo.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9952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_perfi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9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" w:line="276" w:lineRule="auto"/>
        <w:jc w:val="center"/>
      </w:pPr>
      <w:r>
        <w:rPr>
          <w:rFonts w:ascii="Arial" w:hAnsi="Arial" w:cs="Arial"/>
          <w:b/>
          <w:i w:val="0"/>
          <w:sz w:val="18"/>
        </w:rPr>
        <w:t>Figura N.° 04: Perfil del terreno y pendiente máxima del entorno (franja de 150 m a cada lado)</w:t>
      </w:r>
    </w:p>
    <w:p>
      <w:pPr>
        <w:spacing w:before="0" w:after="160" w:line="276" w:lineRule="auto"/>
        <w:jc w:val="center"/>
      </w:pPr>
      <w:r>
        <w:rPr>
          <w:rFonts w:ascii="Arial" w:hAnsi="Arial" w:cs="Arial"/>
          <w:b w:val="0"/>
          <w:i/>
          <w:sz w:val="16"/>
        </w:rPr>
        <w:t>Fuente: modelo digital Copernicus GLO-30; sectores críticos del estudio de inventario vial.</w:t>
      </w:r>
    </w:p>
    <w:p>
      <w:pPr>
        <w:pStyle w:val="Heading2"/>
        <w:keepNext/>
        <w:spacing w:before="160" w:after="120"/>
      </w:pPr>
      <w:r>
        <w:rPr>
          <w:rFonts w:ascii="Arial" w:hAnsi="Arial" w:cs="Arial"/>
          <w:b/>
          <w:i w:val="0"/>
          <w:color w:val="1F4E79"/>
          <w:sz w:val="21"/>
        </w:rPr>
        <w:t>3.5 Clima</w:t>
      </w:r>
    </w:p>
    <w:p>
      <w:pPr>
        <w:spacing w:before="0" w:after="120" w:line="276" w:lineRule="auto"/>
        <w:jc w:val="both"/>
      </w:pPr>
      <w:r>
        <w:rPr>
          <w:rFonts w:ascii="Arial" w:hAnsi="Arial" w:cs="Arial"/>
          <w:b w:val="0"/>
          <w:i w:val="0"/>
          <w:sz w:val="20"/>
        </w:rPr>
        <w:t>No se cuenta con una serie pluviométrica en el tramo. Como referencia se usaron las estaciones más cercanas de la base NOAA GHCN-Daily: Tarapoto (56 km al norte; 1020 mm al año) y Juanjuí (60 km al suroeste; 1471 mm al año). Llueve todo el año, con un máximo en marzo y otro en octubre-noviembre; los meses más secos son julio, agosto y setiembre. Las series son cortas y con vacíos: el estudio hidrológico del expediente debe prevalecer para el diseño.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16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_lluv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" w:line="276" w:lineRule="auto"/>
        <w:jc w:val="center"/>
      </w:pPr>
      <w:r>
        <w:rPr>
          <w:rFonts w:ascii="Arial" w:hAnsi="Arial" w:cs="Arial"/>
          <w:b/>
          <w:i w:val="0"/>
          <w:sz w:val="18"/>
        </w:rPr>
        <w:t>Figura N.° 05: Lluvia mensual de referencia y temporadas para la programación de la obra</w:t>
      </w:r>
    </w:p>
    <w:p>
      <w:pPr>
        <w:spacing w:before="0" w:after="160" w:line="276" w:lineRule="auto"/>
        <w:jc w:val="center"/>
      </w:pPr>
      <w:r>
        <w:rPr>
          <w:rFonts w:ascii="Arial" w:hAnsi="Arial" w:cs="Arial"/>
          <w:b w:val="0"/>
          <w:i/>
          <w:sz w:val="16"/>
        </w:rPr>
        <w:t>Fuente: NOAA GHCN-Daily, estaciones PE000084455 (Tarapoto) y PEM00084474 (Juanjuí).</w:t>
      </w:r>
    </w:p>
    <w:p>
      <w:pPr>
        <w:pStyle w:val="Heading1"/>
        <w:keepNext/>
        <w:spacing w:before="240" w:after="120"/>
      </w:pPr>
      <w:r>
        <w:rPr>
          <w:rFonts w:ascii="Arial" w:hAnsi="Arial" w:cs="Arial"/>
          <w:b/>
          <w:i w:val="0"/>
          <w:color w:val="1F4E79"/>
          <w:sz w:val="24"/>
        </w:rPr>
        <w:t>4. METODOLOGÍA</w:t>
      </w:r>
    </w:p>
    <w:p>
      <w:pPr>
        <w:spacing w:before="0" w:after="120" w:line="276" w:lineRule="auto"/>
        <w:jc w:val="both"/>
      </w:pPr>
      <w:r>
        <w:rPr>
          <w:rFonts w:ascii="Arial" w:hAnsi="Arial" w:cs="Arial"/>
          <w:b w:val="0"/>
          <w:i w:val="0"/>
          <w:sz w:val="20"/>
        </w:rPr>
        <w:t>Se siguió el proceso del artículo 156 del reglamento, con las escalas del PMBOK que usaban los formatos de la ex Directiva N.° 012-2017-OSCE/CD:</w:t>
      </w:r>
    </w:p>
    <w:p>
      <w:pPr>
        <w:spacing w:before="0" w:after="60" w:line="276" w:lineRule="auto"/>
        <w:ind w:left="510" w:hanging="255"/>
        <w:jc w:val="both"/>
      </w:pPr>
      <w:r>
        <w:rPr>
          <w:rFonts w:ascii="Arial" w:hAnsi="Arial" w:cs="Arial"/>
          <w:b w:val="0"/>
          <w:i w:val="0"/>
          <w:sz w:val="20"/>
        </w:rPr>
        <w:t>•  Identificación: revisión del inventario vial, la FTE, su resumen ejecutivo, el presupuesto S10 y el plano clave; recorrido del eje georreferenciado con el relieve y la lluvia de la zona; lista de verificación por categorías (diseño, terreno, clima, predios, permisos, interferencias, sociales, económicos, suministros, ejecución, seguridad y ambiente).</w:t>
      </w:r>
    </w:p>
    <w:p>
      <w:pPr>
        <w:spacing w:before="0" w:after="60" w:line="276" w:lineRule="auto"/>
        <w:ind w:left="510" w:hanging="255"/>
        <w:jc w:val="both"/>
      </w:pPr>
      <w:r>
        <w:rPr>
          <w:rFonts w:ascii="Arial" w:hAnsi="Arial" w:cs="Arial"/>
          <w:b w:val="0"/>
          <w:i w:val="0"/>
          <w:sz w:val="20"/>
        </w:rPr>
        <w:t>•  Análisis cualitativo: probabilidad (P) e impacto (I) con las escalas de la Tabla N.° 05; el impacto se obtiene del valor más probable de costo y de plazo de cada riesgo (Tabla N.° 06) y se toma el mayor. El nivel resulta de P x I.</w:t>
      </w:r>
    </w:p>
    <w:p>
      <w:pPr>
        <w:spacing w:before="0" w:after="60" w:line="276" w:lineRule="auto"/>
        <w:ind w:left="510" w:hanging="255"/>
        <w:jc w:val="both"/>
      </w:pPr>
      <w:r>
        <w:rPr>
          <w:rFonts w:ascii="Arial" w:hAnsi="Arial" w:cs="Arial"/>
          <w:b w:val="0"/>
          <w:i w:val="0"/>
          <w:sz w:val="20"/>
        </w:rPr>
        <w:t>•  Análisis cuantitativo: costo y retraso de cada riesgo con distribución triangular (mínimo, más probable, máximo); valor monetario esperado (VME); simulación de Monte Carlo para obtener la reserva de contingencia y el retraso probable.</w:t>
      </w:r>
    </w:p>
    <w:p>
      <w:pPr>
        <w:spacing w:before="0" w:after="60" w:line="276" w:lineRule="auto"/>
        <w:ind w:left="510" w:hanging="255"/>
        <w:jc w:val="both"/>
      </w:pPr>
      <w:r>
        <w:rPr>
          <w:rFonts w:ascii="Arial" w:hAnsi="Arial" w:cs="Arial"/>
          <w:b w:val="0"/>
          <w:i w:val="0"/>
          <w:sz w:val="20"/>
        </w:rPr>
        <w:t>•  Respuesta: estrategia (evitar, mitigar, transferir o aceptar), acciones, responsable, partida que la financia, momento y alerta temprana.</w:t>
      </w:r>
    </w:p>
    <w:p>
      <w:pPr>
        <w:spacing w:before="0" w:after="60" w:line="276" w:lineRule="auto"/>
        <w:ind w:left="510" w:hanging="255"/>
        <w:jc w:val="both"/>
      </w:pPr>
      <w:r>
        <w:rPr>
          <w:rFonts w:ascii="Arial" w:hAnsi="Arial" w:cs="Arial"/>
          <w:b w:val="0"/>
          <w:i w:val="0"/>
          <w:sz w:val="20"/>
        </w:rPr>
        <w:t>•  Asignación: a la Entidad, al contratista o compartido, según quién controla la causa.</w:t>
      </w:r>
    </w:p>
    <w:p>
      <w:pPr>
        <w:spacing w:before="0" w:after="60" w:line="276" w:lineRule="auto"/>
        <w:ind w:left="510" w:hanging="255"/>
        <w:jc w:val="both"/>
      </w:pPr>
      <w:r>
        <w:rPr>
          <w:rFonts w:ascii="Arial" w:hAnsi="Arial" w:cs="Arial"/>
          <w:b w:val="0"/>
          <w:i w:val="0"/>
          <w:sz w:val="20"/>
        </w:rPr>
        <w:t>•  Seguimiento: comité de gestión de riesgos, revisión mensual y actualización de la matriz.</w:t>
      </w:r>
    </w:p>
    <w:p>
      <w:pPr>
        <w:keepNext/>
        <w:spacing w:before="80" w:after="60" w:line="276" w:lineRule="auto"/>
        <w:jc w:val="center"/>
      </w:pPr>
      <w:r>
        <w:rPr>
          <w:rFonts w:ascii="Arial" w:hAnsi="Arial" w:cs="Arial"/>
          <w:b/>
          <w:i w:val="0"/>
          <w:sz w:val="18"/>
        </w:rPr>
        <w:t>Tabla N.° 05: Escala de probabilidad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Layout w:type="fixed"/>
        <w:tblW w:w="9072" w:type="dxa"/>
      </w:tblPr>
      <w:tblGrid>
        <w:gridCol w:w="1701"/>
        <w:gridCol w:w="1134"/>
        <w:gridCol w:w="6237"/>
      </w:tblGrid>
      <w:tr>
        <w:trPr>
          <w:tblHeader w:val="true"/>
        </w:trPr>
        <w:tc>
          <w:tcPr>
            <w:tcW w:type="dxa" w:w="1701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NIVEL</w:t>
            </w:r>
          </w:p>
        </w:tc>
        <w:tc>
          <w:tcPr>
            <w:tcW w:type="dxa" w:w="1134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VALOR</w:t>
            </w:r>
          </w:p>
        </w:tc>
        <w:tc>
          <w:tcPr>
            <w:tcW w:type="dxa" w:w="6236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DESCRIPCIÓN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Muy baja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0.10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Solo en circunstancias excepcionales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Baja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0.30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Podría ocurrir alguna vez durante la obra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Moderada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0.50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Puede ocurrir durante la obra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Alta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0.70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Es probable que ocurra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Muy alta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0.90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Se espera que ocurra</w:t>
            </w:r>
          </w:p>
        </w:tc>
      </w:tr>
    </w:tbl>
    <w:p>
      <w:pPr>
        <w:spacing w:before="0" w:after="80" w:line="276" w:lineRule="auto"/>
        <w:jc w:val="both"/>
      </w:pPr>
    </w:p>
    <w:p>
      <w:pPr>
        <w:keepNext/>
        <w:spacing w:before="80" w:after="60" w:line="276" w:lineRule="auto"/>
        <w:jc w:val="center"/>
      </w:pPr>
      <w:r>
        <w:rPr>
          <w:rFonts w:ascii="Arial" w:hAnsi="Arial" w:cs="Arial"/>
          <w:b/>
          <w:i w:val="0"/>
          <w:sz w:val="18"/>
        </w:rPr>
        <w:t>Tabla N.° 06: Escala de impacto (valor más probable)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Layout w:type="fixed"/>
        <w:tblW w:w="9072" w:type="dxa"/>
      </w:tblPr>
      <w:tblGrid>
        <w:gridCol w:w="1474"/>
        <w:gridCol w:w="907"/>
        <w:gridCol w:w="2494"/>
        <w:gridCol w:w="2608"/>
        <w:gridCol w:w="1587"/>
      </w:tblGrid>
      <w:tr>
        <w:trPr>
          <w:tblHeader w:val="true"/>
        </w:trPr>
        <w:tc>
          <w:tcPr>
            <w:tcW w:type="dxa" w:w="1474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NIVEL</w:t>
            </w:r>
          </w:p>
        </w:tc>
        <w:tc>
          <w:tcPr>
            <w:tcW w:type="dxa" w:w="907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VALOR</w:t>
            </w:r>
          </w:p>
        </w:tc>
        <w:tc>
          <w:tcPr>
            <w:tcW w:type="dxa" w:w="2494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COSTO (% DEL PRESUPUESTO DE OBRA)</w:t>
            </w:r>
          </w:p>
        </w:tc>
        <w:tc>
          <w:tcPr>
            <w:tcW w:type="dxa" w:w="2608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COSTO (S/)</w:t>
            </w:r>
          </w:p>
        </w:tc>
        <w:tc>
          <w:tcPr>
            <w:tcW w:type="dxa" w:w="1587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PLAZO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Muy bajo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0.05</w:t>
            </w:r>
          </w:p>
        </w:tc>
        <w:tc>
          <w:tcPr>
            <w:tcW w:type="dxa" w:w="249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&lt; 0.1 %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&lt; S/ 0.12 M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&lt; 7 días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Bajo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0.10</w:t>
            </w:r>
          </w:p>
        </w:tc>
        <w:tc>
          <w:tcPr>
            <w:tcW w:type="dxa" w:w="249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0.1 a 0.5 %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S/ 0.12 M a S/ 0.61 M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7 a 21 días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Moderado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0.20</w:t>
            </w:r>
          </w:p>
        </w:tc>
        <w:tc>
          <w:tcPr>
            <w:tcW w:type="dxa" w:w="249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0.5 a 1.5 %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S/ 0.61 M a S/ 1.84 M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21 a 45 días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Alto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0.40</w:t>
            </w:r>
          </w:p>
        </w:tc>
        <w:tc>
          <w:tcPr>
            <w:tcW w:type="dxa" w:w="249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1.5 a 4.0 %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S/ 1.84 M a S/ 4.90 M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45 a 90 días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Muy alto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0.80</w:t>
            </w:r>
          </w:p>
        </w:tc>
        <w:tc>
          <w:tcPr>
            <w:tcW w:type="dxa" w:w="249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&gt; 4.0 %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&gt; S/ 4.90 M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&gt; 90 días</w:t>
            </w:r>
          </w:p>
        </w:tc>
      </w:tr>
    </w:tbl>
    <w:p>
      <w:pPr>
        <w:spacing w:before="0" w:after="80" w:line="276" w:lineRule="auto"/>
        <w:jc w:val="both"/>
      </w:pPr>
    </w:p>
    <w:p>
      <w:pPr>
        <w:keepNext/>
        <w:spacing w:before="80" w:after="60" w:line="276" w:lineRule="auto"/>
        <w:jc w:val="center"/>
      </w:pPr>
      <w:r>
        <w:rPr>
          <w:rFonts w:ascii="Arial" w:hAnsi="Arial" w:cs="Arial"/>
          <w:b/>
          <w:i w:val="0"/>
          <w:sz w:val="18"/>
        </w:rPr>
        <w:t>Tabla N.° 07: Niveles de riesgo y tratamiento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Layout w:type="fixed"/>
        <w:tblW w:w="9072" w:type="dxa"/>
      </w:tblPr>
      <w:tblGrid>
        <w:gridCol w:w="1701"/>
        <w:gridCol w:w="1417"/>
        <w:gridCol w:w="5953"/>
      </w:tblGrid>
      <w:tr>
        <w:trPr>
          <w:tblHeader w:val="true"/>
        </w:trPr>
        <w:tc>
          <w:tcPr>
            <w:tcW w:type="dxa" w:w="1701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NIVEL</w:t>
            </w:r>
          </w:p>
        </w:tc>
        <w:tc>
          <w:tcPr>
            <w:tcW w:type="dxa" w:w="1417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P x I</w:t>
            </w:r>
          </w:p>
        </w:tc>
        <w:tc>
          <w:tcPr>
            <w:tcW w:type="dxa" w:w="5953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TRATAMIENTO</w:t>
            </w:r>
          </w:p>
        </w:tc>
      </w:tr>
      <w:tr>
        <w:tc>
          <w:tcPr>
            <w:tcW w:type="dxa" w:w="1701"/>
            <w:shd w:val="clear" w:color="auto" w:fill="FF7C8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ALTO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&gt;= 0.18</w:t>
            </w:r>
          </w:p>
        </w:tc>
        <w:tc>
          <w:tcPr>
            <w:tcW w:type="dxa" w:w="5953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Respuesta obligatoria antes del inicio o de la actividad afectada; seguimiento mensual del comité</w:t>
            </w:r>
          </w:p>
        </w:tc>
      </w:tr>
      <w:tr>
        <w:tc>
          <w:tcPr>
            <w:tcW w:type="dxa" w:w="1701"/>
            <w:shd w:val="clear" w:color="auto" w:fill="FFD966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MODERADO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0.05 a 0.18</w:t>
            </w:r>
          </w:p>
        </w:tc>
        <w:tc>
          <w:tcPr>
            <w:tcW w:type="dxa" w:w="5953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Respuesta planificada; seguimiento del residente y del supervisor</w:t>
            </w:r>
          </w:p>
        </w:tc>
      </w:tr>
      <w:tr>
        <w:tc>
          <w:tcPr>
            <w:tcW w:type="dxa" w:w="1701"/>
            <w:shd w:val="clear" w:color="auto" w:fill="A9D08E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BAJO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&lt; 0.05</w:t>
            </w:r>
          </w:p>
        </w:tc>
        <w:tc>
          <w:tcPr>
            <w:tcW w:type="dxa" w:w="5953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Se acepta; se vigila con el registro</w:t>
            </w:r>
          </w:p>
        </w:tc>
      </w:tr>
    </w:tbl>
    <w:p>
      <w:pPr>
        <w:spacing w:before="0" w:after="80" w:line="276" w:lineRule="auto"/>
        <w:jc w:val="both"/>
      </w:pPr>
    </w:p>
    <w:p>
      <w:pPr>
        <w:spacing w:before="0" w:after="120" w:line="276" w:lineRule="auto"/>
        <w:jc w:val="both"/>
      </w:pPr>
      <w:r>
        <w:rPr>
          <w:rFonts w:ascii="Arial" w:hAnsi="Arial" w:cs="Arial"/>
          <w:b w:val="0"/>
          <w:i w:val="0"/>
          <w:sz w:val="20"/>
        </w:rPr>
        <w:t>Montos a precio de obra: el costo directo se multiplica por 1.3865 (gastos generales, utilidad e IGV). Cada día de ampliación atribuible a la Entidad se valoriza en S/ 21,902.26 (gastos generales con IGV y supervisión por día). En la simulación, los retrasos de la ruta crítica se agrupan por etapa (inicio, clima, terreno y gestión): dentro de cada grupo se suma el mayor retraso y el 25 % de los demás, porque actúan sobre los mismos frentes y períodos; los grupos se suman entre sí.</w:t>
      </w:r>
    </w:p>
    <w:p>
      <w:pPr>
        <w:pStyle w:val="Heading1"/>
        <w:keepNext/>
        <w:spacing w:before="240" w:after="120"/>
      </w:pPr>
      <w:r>
        <w:rPr>
          <w:rFonts w:ascii="Arial" w:hAnsi="Arial" w:cs="Arial"/>
          <w:b/>
          <w:i w:val="0"/>
          <w:color w:val="1F4E79"/>
          <w:sz w:val="24"/>
        </w:rPr>
        <w:t>5. IDENTIFICACIÓN DE RIESGOS</w:t>
      </w:r>
    </w:p>
    <w:p>
      <w:pPr>
        <w:spacing w:before="0" w:after="120" w:line="276" w:lineRule="auto"/>
        <w:jc w:val="both"/>
      </w:pPr>
      <w:r>
        <w:rPr>
          <w:rFonts w:ascii="Arial" w:hAnsi="Arial" w:cs="Arial"/>
          <w:b w:val="0"/>
          <w:i w:val="0"/>
          <w:sz w:val="20"/>
        </w:rPr>
        <w:t>Se identificaron 34 riesgos y 3 oportunidades. Por categoría: clima y naturaleza (6); ejecución (5); social y predios (4); geotecnia (3); permisos (3); seguridad (3); insumos y canteras (2); expediente técnico (2); económico (2); ambiental (2); interferencias (1); gestión del contrato (1). La descripción completa (causa, efecto, ubicación y evidencia en los documentos) está en la hoja IDENTIFICACION de la matriz en Excel y en el Anexo 1.</w:t>
      </w:r>
    </w:p>
    <w:p>
      <w:pPr>
        <w:keepNext/>
        <w:spacing w:before="80" w:after="60" w:line="276" w:lineRule="auto"/>
        <w:jc w:val="center"/>
      </w:pPr>
      <w:r>
        <w:rPr>
          <w:rFonts w:ascii="Arial" w:hAnsi="Arial" w:cs="Arial"/>
          <w:b/>
          <w:i w:val="0"/>
          <w:sz w:val="18"/>
        </w:rPr>
        <w:t>Tabla N.° 08: Riesgos identificados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Layout w:type="fixed"/>
        <w:tblW w:w="9072" w:type="dxa"/>
      </w:tblPr>
      <w:tblGrid>
        <w:gridCol w:w="793"/>
        <w:gridCol w:w="1474"/>
        <w:gridCol w:w="3969"/>
        <w:gridCol w:w="2835"/>
      </w:tblGrid>
      <w:tr>
        <w:trPr>
          <w:tblHeader w:val="true"/>
        </w:trPr>
        <w:tc>
          <w:tcPr>
            <w:tcW w:type="dxa" w:w="794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5"/>
              </w:rPr>
              <w:t>COD.</w:t>
            </w:r>
          </w:p>
        </w:tc>
        <w:tc>
          <w:tcPr>
            <w:tcW w:type="dxa" w:w="1474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5"/>
              </w:rPr>
              <w:t>CATEGORÍA</w:t>
            </w:r>
          </w:p>
        </w:tc>
        <w:tc>
          <w:tcPr>
            <w:tcW w:type="dxa" w:w="3969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5"/>
              </w:rPr>
              <w:t>RIESGO</w:t>
            </w:r>
          </w:p>
        </w:tc>
        <w:tc>
          <w:tcPr>
            <w:tcW w:type="dxa" w:w="2835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5"/>
              </w:rPr>
              <w:t>UBICACIÓN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R-01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Clima y naturaleza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Lluvias estacionales intensas (octubre a abril) que paralizan el movimiento de tierras, la pavimentación y los vaciados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Todo el tramo, 19+343 a 44+693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R-02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Clima y naturaleza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Lluvias extraordinarias o anomalías climáticas (El Niño / La Niña) con desborde de quebradas y daños a la obra ejecutada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Quebradas de los 5 puentes y sectores bajos 19+343 a 23+000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R-03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Clima y naturaleza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Crecidas de quebradas durante la construcción de estribos de los 5 puentes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Puentes Tingo de Ponasa 20+300, Barco 29+300, Paucarillo 37+870, Apangurayco 38+800, Chanchamayco 44+040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R-04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Geotecnia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Inestabilidad de taludes y deslizamientos durante los cortes en ladera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36+060 a 36+100 (h = 20 m, LI) y 37+520 a 37+780 (h = 30 m, LI); laderas 34+000 a 37+000 y 43+000 a 44+000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R-05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Geotecnia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Erosión y socavación de la plataforma y de los terraplenes en construcción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20+337 a 20+340; 34+766 a 34+786; 36+380 a 36+460; 39+380 a 39+840 (h = 3 a 5 m); 43+620 a 43+632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R-06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Clima y naturaleza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Saturación de terraplenes por inundación de arrozales, canales de riego y empozamientos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20+360 a 21+170; 22+270; 22+800 a 22+960; 26+924; 34+954; 40+380; 43+660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R-07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Geotecnia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Subrasante de menor capacidad de soporte que la prevista en el expediente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Sectores de terreno natural y material de préstamo expuesto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R-08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Insumos y canteras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Cantera insuficiente, sin calidad o sin autorización, con mayor distancia de transporte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Cantera de río (4.50 ha) y accesos (2.50 km)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R-09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Permisos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Demora en autorizaciones de uso de agua y de extracción de material de cauce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Fuente de agua (acceso 1.70 km) y cantera de río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R-10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Social y predios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Falta de libre disponibilidad del terreno para el ensanche de la plataforma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Tingo de Ponasa 19+343 a 19+800; Aypena 21+940; Nuevo América 26+270; Leoncio Prado 28+080; San Antonio 31+420; Huañipo 33+780; Paucar 38+020; Alfonso Ugarte 38+730; Shamboyacu 44+300 a 44+693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R-11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Interferencias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Interferencias con redes eléctricas, de agua potable y de telecomunicaciones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Pase de agua potable 22+425; PVC 21" 25+715; PVC 6" 34+688; postes en las 9 localidades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R-12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Social y predios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Afectación de canales y cruces de riego con reclamos de los agricultores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Cruces 32+578, 35+950, 36+120, 37+400, 37+794, 38+370; canal 31+100 a 31+920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R-13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Social y predios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Conflictos sociales y paralizaciones de la población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Localidades del tramo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R-14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Permisos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Hallazgos arqueológicos o falta del instrumento de intervención arqueológica aprobado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Cortes, canteras, DME y ensanches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R-15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Permisos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Demora o condicionamiento de la certificación ambiental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Todo el proyecto y áreas auxiliares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R-16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Expediente técnico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Deficiencias e incompatibilidades del expediente técnico (metrados, longitudes, diseños)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Todo el expediente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R-17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Económico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Variación de precios de insumos críticos (asfalto, combustible, acero, TMC)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Todo el proyecto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R-18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Insumos y canteras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Retraso en el suministro de materiales de importación o fabricación especial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Puentes y pavimento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R-19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Ejecución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Falla o insuficiencia de equipos (planta de asfalto, chancadora, compactación)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Planta y frentes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R-20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Seguridad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Accidentes de tránsito y atropellos en la vía en servicio durante la obra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Todo el tramo, en especial las localidades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R-21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Seguridad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Accidentes de trabajo graves (izaje de vigas, trabajo en agua, excavaciones, maquinaria)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Puentes y cortes en ladera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R-22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Clima y naturaleza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Sismo de intensidad moderada a alta durante la obra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Todo el tramo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R-23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Económico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Retraso en el financiamiento o en los pagos de valorizaciones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Todo el proyecto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R-24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Gestión del contrato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Demoras en la absolución de consultas, aprobación de prestaciones adicionales y decisiones de la Entidad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Todo el proyecto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R-25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Ambiental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Áreas de depósito de material excedente (DME) insuficientes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DME del proyecto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R-26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Ambiental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Contaminación de quebradas y suelos (sedimentos, derrames de asfalto y combustible)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Puentes, planta y patio de máquinas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R-27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Ejecución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Interrupción prolongada del tránsito y del acceso a las localidades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Puentes 20+300, 29+300, 37+870, 38+800, 44+040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R-28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Ejecución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Calidad deficiente de la carpeta asfáltica o del concreto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Pavimento y estructuras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R-29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Seguridad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Enfermedades transmitidas por vectores (dengue) y emergencias sanitarias en el personal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Campamento y frentes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R-30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Social y predios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Conflictos laborales y presión de gremios de construcción civil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Frentes de obra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R-31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Ejecución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Robo y vandalismo de materiales, señales y equipos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Almacenes y frentes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R-32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Clima y naturaleza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Incendios y quemas agrícolas en época seca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Sectores agrícolas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R-33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Ejecución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Falla de los puentes existentes por el paso de equipo pesado antes de su reemplazo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Puentes existentes 20+300, 29+329, 37+960, 38+919, 44+149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R-34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Expediente técnico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Cambio de diseño de puentes por condiciones de cauce, socavación o cimentación distintas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Puentes Tingo de Ponasa 20+300 y Barco 29+300</w:t>
            </w:r>
          </w:p>
        </w:tc>
      </w:tr>
    </w:tbl>
    <w:p>
      <w:pPr>
        <w:spacing w:before="0" w:after="80" w:line="276" w:lineRule="auto"/>
        <w:jc w:val="both"/>
      </w:pPr>
    </w:p>
    <w:p>
      <w:pPr>
        <w:pStyle w:val="Heading1"/>
        <w:keepNext/>
        <w:spacing w:before="240" w:after="120"/>
      </w:pPr>
      <w:r>
        <w:rPr>
          <w:rFonts w:ascii="Arial" w:hAnsi="Arial" w:cs="Arial"/>
          <w:b/>
          <w:i w:val="0"/>
          <w:color w:val="1F4E79"/>
          <w:sz w:val="24"/>
        </w:rPr>
        <w:t>6. ANÁLISIS CUALITATIVO</w:t>
      </w:r>
    </w:p>
    <w:p>
      <w:pPr>
        <w:spacing w:before="0" w:after="120" w:line="276" w:lineRule="auto"/>
        <w:jc w:val="both"/>
      </w:pPr>
      <w:r>
        <w:rPr>
          <w:rFonts w:ascii="Arial" w:hAnsi="Arial" w:cs="Arial"/>
          <w:b w:val="0"/>
          <w:i w:val="0"/>
          <w:sz w:val="20"/>
        </w:rPr>
        <w:t>Resultado inherente (sin respuesta): 4 riesgos de nivel ALTO, 21 MODERADO y 9 BAJO. Con las respuestas del capítulo 9 ejecutadas en el momento indicado (residual): 0 ALTO, 11 MODERADO y 23 BAJO.</w:t>
      </w:r>
    </w:p>
    <w:p>
      <w:pPr>
        <w:keepNext/>
        <w:spacing w:before="80" w:after="60" w:line="276" w:lineRule="auto"/>
        <w:jc w:val="center"/>
      </w:pPr>
      <w:r>
        <w:rPr>
          <w:rFonts w:ascii="Arial" w:hAnsi="Arial" w:cs="Arial"/>
          <w:b/>
          <w:i w:val="0"/>
          <w:sz w:val="18"/>
        </w:rPr>
        <w:t>Tabla N.° 09: Análisis cualitativo P x I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Layout w:type="fixed"/>
        <w:tblW w:w="9185" w:type="dxa"/>
      </w:tblPr>
      <w:tblGrid>
        <w:gridCol w:w="623"/>
        <w:gridCol w:w="2608"/>
        <w:gridCol w:w="907"/>
        <w:gridCol w:w="850"/>
        <w:gridCol w:w="567"/>
        <w:gridCol w:w="1077"/>
        <w:gridCol w:w="907"/>
        <w:gridCol w:w="567"/>
        <w:gridCol w:w="1077"/>
      </w:tblGrid>
      <w:tr>
        <w:trPr>
          <w:tblHeader w:val="true"/>
        </w:trPr>
        <w:tc>
          <w:tcPr>
            <w:tcW w:type="dxa" w:w="624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4"/>
              </w:rPr>
              <w:t>COD.</w:t>
            </w:r>
          </w:p>
        </w:tc>
        <w:tc>
          <w:tcPr>
            <w:tcW w:type="dxa" w:w="2608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4"/>
              </w:rPr>
              <w:t>RIESGO</w:t>
            </w:r>
          </w:p>
        </w:tc>
        <w:tc>
          <w:tcPr>
            <w:tcW w:type="dxa" w:w="907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4"/>
              </w:rPr>
              <w:t>P</w:t>
            </w:r>
          </w:p>
        </w:tc>
        <w:tc>
          <w:tcPr>
            <w:tcW w:type="dxa" w:w="850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4"/>
              </w:rPr>
              <w:t>I</w:t>
            </w:r>
          </w:p>
        </w:tc>
        <w:tc>
          <w:tcPr>
            <w:tcW w:type="dxa" w:w="567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4"/>
              </w:rPr>
              <w:t>P x I</w:t>
            </w:r>
          </w:p>
        </w:tc>
        <w:tc>
          <w:tcPr>
            <w:tcW w:type="dxa" w:w="1077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4"/>
              </w:rPr>
              <w:t>NIVEL</w:t>
            </w:r>
          </w:p>
        </w:tc>
        <w:tc>
          <w:tcPr>
            <w:tcW w:type="dxa" w:w="907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4"/>
              </w:rPr>
              <w:t>P RES.</w:t>
            </w:r>
          </w:p>
        </w:tc>
        <w:tc>
          <w:tcPr>
            <w:tcW w:type="dxa" w:w="567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4"/>
              </w:rPr>
              <w:t>P x I RES.</w:t>
            </w:r>
          </w:p>
        </w:tc>
        <w:tc>
          <w:tcPr>
            <w:tcW w:type="dxa" w:w="1077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4"/>
              </w:rPr>
              <w:t>NIVEL RES.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R-08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Cantera insuficiente, sin calidad o sin autorización, con mayor distancia de transporte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Alto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0.200</w:t>
            </w:r>
          </w:p>
        </w:tc>
        <w:tc>
          <w:tcPr>
            <w:tcW w:type="dxa" w:w="1077"/>
            <w:shd w:val="clear" w:color="auto" w:fill="FF7C8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ALTO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Muy baja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0.040</w:t>
            </w:r>
          </w:p>
        </w:tc>
        <w:tc>
          <w:tcPr>
            <w:tcW w:type="dxa" w:w="1077"/>
            <w:shd w:val="clear" w:color="auto" w:fill="A9D08E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BAJO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R-15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Demora o condicionamiento de la certificación ambiental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Alto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0.200</w:t>
            </w:r>
          </w:p>
        </w:tc>
        <w:tc>
          <w:tcPr>
            <w:tcW w:type="dxa" w:w="1077"/>
            <w:shd w:val="clear" w:color="auto" w:fill="FF7C8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ALTO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Muy baja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0.040</w:t>
            </w:r>
          </w:p>
        </w:tc>
        <w:tc>
          <w:tcPr>
            <w:tcW w:type="dxa" w:w="1077"/>
            <w:shd w:val="clear" w:color="auto" w:fill="A9D08E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BAJO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R-01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Lluvias estacionales intensas (octubre a abril) que paralizan el movimiento de tierras, la pavimentación y los vaciados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Muy alta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Moderado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0.180</w:t>
            </w:r>
          </w:p>
        </w:tc>
        <w:tc>
          <w:tcPr>
            <w:tcW w:type="dxa" w:w="1077"/>
            <w:shd w:val="clear" w:color="auto" w:fill="FF7C8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ALTO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Alta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0.140</w:t>
            </w:r>
          </w:p>
        </w:tc>
        <w:tc>
          <w:tcPr>
            <w:tcW w:type="dxa" w:w="1077"/>
            <w:shd w:val="clear" w:color="auto" w:fill="FFD966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MODERADO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R-25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Áreas de depósito de material excedente (DME) insuficientes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Muy alta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Moderado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0.180</w:t>
            </w:r>
          </w:p>
        </w:tc>
        <w:tc>
          <w:tcPr>
            <w:tcW w:type="dxa" w:w="1077"/>
            <w:shd w:val="clear" w:color="auto" w:fill="FF7C8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ALTO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Baja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0.060</w:t>
            </w:r>
          </w:p>
        </w:tc>
        <w:tc>
          <w:tcPr>
            <w:tcW w:type="dxa" w:w="1077"/>
            <w:shd w:val="clear" w:color="auto" w:fill="FFD966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MODERADO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R-10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Falta de libre disponibilidad del terreno para el ensanche de la plataforma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Alta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Moderado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0.140</w:t>
            </w:r>
          </w:p>
        </w:tc>
        <w:tc>
          <w:tcPr>
            <w:tcW w:type="dxa" w:w="1077"/>
            <w:shd w:val="clear" w:color="auto" w:fill="FFD966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MODERADO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Baja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0.060</w:t>
            </w:r>
          </w:p>
        </w:tc>
        <w:tc>
          <w:tcPr>
            <w:tcW w:type="dxa" w:w="1077"/>
            <w:shd w:val="clear" w:color="auto" w:fill="FFD966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MODERADO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R-16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Deficiencias e incompatibilidades del expediente técnico (metrados, longitudes, diseños)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Alta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Moderado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0.140</w:t>
            </w:r>
          </w:p>
        </w:tc>
        <w:tc>
          <w:tcPr>
            <w:tcW w:type="dxa" w:w="1077"/>
            <w:shd w:val="clear" w:color="auto" w:fill="FFD966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MODERADO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Baja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0.060</w:t>
            </w:r>
          </w:p>
        </w:tc>
        <w:tc>
          <w:tcPr>
            <w:tcW w:type="dxa" w:w="1077"/>
            <w:shd w:val="clear" w:color="auto" w:fill="FFD966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MODERADO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R-17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Variación de precios de insumos críticos (asfalto, combustible, acero, TMC)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Alta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Moderado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0.140</w:t>
            </w:r>
          </w:p>
        </w:tc>
        <w:tc>
          <w:tcPr>
            <w:tcW w:type="dxa" w:w="1077"/>
            <w:shd w:val="clear" w:color="auto" w:fill="FFD966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MODERADO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Alta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0.140</w:t>
            </w:r>
          </w:p>
        </w:tc>
        <w:tc>
          <w:tcPr>
            <w:tcW w:type="dxa" w:w="1077"/>
            <w:shd w:val="clear" w:color="auto" w:fill="FFD966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MODERADO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R-04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Inestabilidad de taludes y deslizamientos durante los cortes en ladera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Moderado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0.100</w:t>
            </w:r>
          </w:p>
        </w:tc>
        <w:tc>
          <w:tcPr>
            <w:tcW w:type="dxa" w:w="1077"/>
            <w:shd w:val="clear" w:color="auto" w:fill="FFD966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MODERADO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Baja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0.060</w:t>
            </w:r>
          </w:p>
        </w:tc>
        <w:tc>
          <w:tcPr>
            <w:tcW w:type="dxa" w:w="1077"/>
            <w:shd w:val="clear" w:color="auto" w:fill="FFD966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MODERADO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R-07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Subrasante de menor capacidad de soporte que la prevista en el expediente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Moderado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0.100</w:t>
            </w:r>
          </w:p>
        </w:tc>
        <w:tc>
          <w:tcPr>
            <w:tcW w:type="dxa" w:w="1077"/>
            <w:shd w:val="clear" w:color="auto" w:fill="FFD966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MODERADO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Baja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0.060</w:t>
            </w:r>
          </w:p>
        </w:tc>
        <w:tc>
          <w:tcPr>
            <w:tcW w:type="dxa" w:w="1077"/>
            <w:shd w:val="clear" w:color="auto" w:fill="FFD966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MODERADO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R-09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Demora en autorizaciones de uso de agua y de extracción de material de cauce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Moderado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0.100</w:t>
            </w:r>
          </w:p>
        </w:tc>
        <w:tc>
          <w:tcPr>
            <w:tcW w:type="dxa" w:w="1077"/>
            <w:shd w:val="clear" w:color="auto" w:fill="FFD966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MODERADO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Muy baja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0.020</w:t>
            </w:r>
          </w:p>
        </w:tc>
        <w:tc>
          <w:tcPr>
            <w:tcW w:type="dxa" w:w="1077"/>
            <w:shd w:val="clear" w:color="auto" w:fill="A9D08E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BAJO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R-23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Retraso en el financiamiento o en los pagos de valorizaciones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Moderado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0.100</w:t>
            </w:r>
          </w:p>
        </w:tc>
        <w:tc>
          <w:tcPr>
            <w:tcW w:type="dxa" w:w="1077"/>
            <w:shd w:val="clear" w:color="auto" w:fill="FFD966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MODERADO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Baja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0.060</w:t>
            </w:r>
          </w:p>
        </w:tc>
        <w:tc>
          <w:tcPr>
            <w:tcW w:type="dxa" w:w="1077"/>
            <w:shd w:val="clear" w:color="auto" w:fill="FFD966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MODERADO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R-05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Erosión y socavación de la plataforma y de los terraplenes en construcción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Alta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Bajo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0.070</w:t>
            </w:r>
          </w:p>
        </w:tc>
        <w:tc>
          <w:tcPr>
            <w:tcW w:type="dxa" w:w="1077"/>
            <w:shd w:val="clear" w:color="auto" w:fill="FFD966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MODERADO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Moderada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0.050</w:t>
            </w:r>
          </w:p>
        </w:tc>
        <w:tc>
          <w:tcPr>
            <w:tcW w:type="dxa" w:w="1077"/>
            <w:shd w:val="clear" w:color="auto" w:fill="FFD966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MODERADO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R-06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Saturación de terraplenes por inundación de arrozales, canales de riego y empozamientos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Alta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Bajo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0.070</w:t>
            </w:r>
          </w:p>
        </w:tc>
        <w:tc>
          <w:tcPr>
            <w:tcW w:type="dxa" w:w="1077"/>
            <w:shd w:val="clear" w:color="auto" w:fill="FFD966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MODERADO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Moderada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0.050</w:t>
            </w:r>
          </w:p>
        </w:tc>
        <w:tc>
          <w:tcPr>
            <w:tcW w:type="dxa" w:w="1077"/>
            <w:shd w:val="clear" w:color="auto" w:fill="FFD966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MODERADO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R-11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Interferencias con redes eléctricas, de agua potable y de telecomunicaciones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Alta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Bajo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0.070</w:t>
            </w:r>
          </w:p>
        </w:tc>
        <w:tc>
          <w:tcPr>
            <w:tcW w:type="dxa" w:w="1077"/>
            <w:shd w:val="clear" w:color="auto" w:fill="FFD966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MODERADO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Baja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0.030</w:t>
            </w:r>
          </w:p>
        </w:tc>
        <w:tc>
          <w:tcPr>
            <w:tcW w:type="dxa" w:w="1077"/>
            <w:shd w:val="clear" w:color="auto" w:fill="A9D08E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BAJO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R-02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Lluvias extraordinarias o anomalías climáticas (El Niño / La Niña) con desborde de quebradas y daños a la obra ejecutada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Moderado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0.060</w:t>
            </w:r>
          </w:p>
        </w:tc>
        <w:tc>
          <w:tcPr>
            <w:tcW w:type="dxa" w:w="1077"/>
            <w:shd w:val="clear" w:color="auto" w:fill="FFD966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MODERADO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Baja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0.060</w:t>
            </w:r>
          </w:p>
        </w:tc>
        <w:tc>
          <w:tcPr>
            <w:tcW w:type="dxa" w:w="1077"/>
            <w:shd w:val="clear" w:color="auto" w:fill="FFD966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MODERADO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R-14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Hallazgos arqueológicos o falta del instrumento de intervención arqueológica aprobado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Moderado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0.060</w:t>
            </w:r>
          </w:p>
        </w:tc>
        <w:tc>
          <w:tcPr>
            <w:tcW w:type="dxa" w:w="1077"/>
            <w:shd w:val="clear" w:color="auto" w:fill="FFD966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MODERADO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Muy baja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0.020</w:t>
            </w:r>
          </w:p>
        </w:tc>
        <w:tc>
          <w:tcPr>
            <w:tcW w:type="dxa" w:w="1077"/>
            <w:shd w:val="clear" w:color="auto" w:fill="A9D08E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BAJO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R-34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Cambio de diseño de puentes por condiciones de cauce, socavación o cimentación distintas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Moderado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0.060</w:t>
            </w:r>
          </w:p>
        </w:tc>
        <w:tc>
          <w:tcPr>
            <w:tcW w:type="dxa" w:w="1077"/>
            <w:shd w:val="clear" w:color="auto" w:fill="FFD966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MODERADO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Muy baja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0.020</w:t>
            </w:r>
          </w:p>
        </w:tc>
        <w:tc>
          <w:tcPr>
            <w:tcW w:type="dxa" w:w="1077"/>
            <w:shd w:val="clear" w:color="auto" w:fill="A9D08E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BAJO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R-03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Crecidas de quebradas durante la construcción de estribos de los 5 puentes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Bajo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0.050</w:t>
            </w:r>
          </w:p>
        </w:tc>
        <w:tc>
          <w:tcPr>
            <w:tcW w:type="dxa" w:w="1077"/>
            <w:shd w:val="clear" w:color="auto" w:fill="FFD966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MODERADO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Baja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0.030</w:t>
            </w:r>
          </w:p>
        </w:tc>
        <w:tc>
          <w:tcPr>
            <w:tcW w:type="dxa" w:w="1077"/>
            <w:shd w:val="clear" w:color="auto" w:fill="A9D08E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BAJO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R-12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Afectación de canales y cruces de riego con reclamos de los agricultores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Bajo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0.050</w:t>
            </w:r>
          </w:p>
        </w:tc>
        <w:tc>
          <w:tcPr>
            <w:tcW w:type="dxa" w:w="1077"/>
            <w:shd w:val="clear" w:color="auto" w:fill="FFD966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MODERADO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Baja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0.030</w:t>
            </w:r>
          </w:p>
        </w:tc>
        <w:tc>
          <w:tcPr>
            <w:tcW w:type="dxa" w:w="1077"/>
            <w:shd w:val="clear" w:color="auto" w:fill="A9D08E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BAJO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R-13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Conflictos sociales y paralizaciones de la población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Bajo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0.050</w:t>
            </w:r>
          </w:p>
        </w:tc>
        <w:tc>
          <w:tcPr>
            <w:tcW w:type="dxa" w:w="1077"/>
            <w:shd w:val="clear" w:color="auto" w:fill="FFD966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MODERADO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Baja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0.030</w:t>
            </w:r>
          </w:p>
        </w:tc>
        <w:tc>
          <w:tcPr>
            <w:tcW w:type="dxa" w:w="1077"/>
            <w:shd w:val="clear" w:color="auto" w:fill="A9D08E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BAJO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R-18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Retraso en el suministro de materiales de importación o fabricación especial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Bajo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0.050</w:t>
            </w:r>
          </w:p>
        </w:tc>
        <w:tc>
          <w:tcPr>
            <w:tcW w:type="dxa" w:w="1077"/>
            <w:shd w:val="clear" w:color="auto" w:fill="FFD966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MODERADO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Baja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0.030</w:t>
            </w:r>
          </w:p>
        </w:tc>
        <w:tc>
          <w:tcPr>
            <w:tcW w:type="dxa" w:w="1077"/>
            <w:shd w:val="clear" w:color="auto" w:fill="A9D08E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BAJO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R-19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Falla o insuficiencia de equipos (planta de asfalto, chancadora, compactación)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Bajo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0.050</w:t>
            </w:r>
          </w:p>
        </w:tc>
        <w:tc>
          <w:tcPr>
            <w:tcW w:type="dxa" w:w="1077"/>
            <w:shd w:val="clear" w:color="auto" w:fill="FFD966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MODERADO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Baja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0.030</w:t>
            </w:r>
          </w:p>
        </w:tc>
        <w:tc>
          <w:tcPr>
            <w:tcW w:type="dxa" w:w="1077"/>
            <w:shd w:val="clear" w:color="auto" w:fill="A9D08E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BAJO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R-24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Demoras en la absolución de consultas, aprobación de prestaciones adicionales y decisiones de la Entidad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Bajo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0.050</w:t>
            </w:r>
          </w:p>
        </w:tc>
        <w:tc>
          <w:tcPr>
            <w:tcW w:type="dxa" w:w="1077"/>
            <w:shd w:val="clear" w:color="auto" w:fill="FFD966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MODERADO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Baja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0.030</w:t>
            </w:r>
          </w:p>
        </w:tc>
        <w:tc>
          <w:tcPr>
            <w:tcW w:type="dxa" w:w="1077"/>
            <w:shd w:val="clear" w:color="auto" w:fill="A9D08E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BAJO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R-27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Interrupción prolongada del tránsito y del acceso a las localidades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Bajo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0.050</w:t>
            </w:r>
          </w:p>
        </w:tc>
        <w:tc>
          <w:tcPr>
            <w:tcW w:type="dxa" w:w="1077"/>
            <w:shd w:val="clear" w:color="auto" w:fill="FFD966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MODERADO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Baja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0.030</w:t>
            </w:r>
          </w:p>
        </w:tc>
        <w:tc>
          <w:tcPr>
            <w:tcW w:type="dxa" w:w="1077"/>
            <w:shd w:val="clear" w:color="auto" w:fill="A9D08E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BAJO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R-29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Enfermedades transmitidas por vectores (dengue) y emergencias sanitarias en el personal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Bajo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0.050</w:t>
            </w:r>
          </w:p>
        </w:tc>
        <w:tc>
          <w:tcPr>
            <w:tcW w:type="dxa" w:w="1077"/>
            <w:shd w:val="clear" w:color="auto" w:fill="FFD966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MODERADO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Baja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0.030</w:t>
            </w:r>
          </w:p>
        </w:tc>
        <w:tc>
          <w:tcPr>
            <w:tcW w:type="dxa" w:w="1077"/>
            <w:shd w:val="clear" w:color="auto" w:fill="A9D08E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BAJO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R-21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Accidentes de trabajo graves (izaje de vigas, trabajo en agua, excavaciones, maquinaria)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Bajo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0.030</w:t>
            </w:r>
          </w:p>
        </w:tc>
        <w:tc>
          <w:tcPr>
            <w:tcW w:type="dxa" w:w="1077"/>
            <w:shd w:val="clear" w:color="auto" w:fill="A9D08E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BAJO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Muy baja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0.010</w:t>
            </w:r>
          </w:p>
        </w:tc>
        <w:tc>
          <w:tcPr>
            <w:tcW w:type="dxa" w:w="1077"/>
            <w:shd w:val="clear" w:color="auto" w:fill="A9D08E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BAJO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R-26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Contaminación de quebradas y suelos (sedimentos, derrames de asfalto y combustible)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Bajo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0.030</w:t>
            </w:r>
          </w:p>
        </w:tc>
        <w:tc>
          <w:tcPr>
            <w:tcW w:type="dxa" w:w="1077"/>
            <w:shd w:val="clear" w:color="auto" w:fill="A9D08E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BAJO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Muy baja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0.010</w:t>
            </w:r>
          </w:p>
        </w:tc>
        <w:tc>
          <w:tcPr>
            <w:tcW w:type="dxa" w:w="1077"/>
            <w:shd w:val="clear" w:color="auto" w:fill="A9D08E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BAJO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R-28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Calidad deficiente de la carpeta asfáltica o del concreto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Bajo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0.030</w:t>
            </w:r>
          </w:p>
        </w:tc>
        <w:tc>
          <w:tcPr>
            <w:tcW w:type="dxa" w:w="1077"/>
            <w:shd w:val="clear" w:color="auto" w:fill="A9D08E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BAJO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Muy baja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0.010</w:t>
            </w:r>
          </w:p>
        </w:tc>
        <w:tc>
          <w:tcPr>
            <w:tcW w:type="dxa" w:w="1077"/>
            <w:shd w:val="clear" w:color="auto" w:fill="A9D08E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BAJO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R-30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Conflictos laborales y presión de gremios de construcción civil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Bajo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0.030</w:t>
            </w:r>
          </w:p>
        </w:tc>
        <w:tc>
          <w:tcPr>
            <w:tcW w:type="dxa" w:w="1077"/>
            <w:shd w:val="clear" w:color="auto" w:fill="A9D08E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BAJO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Baja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0.030</w:t>
            </w:r>
          </w:p>
        </w:tc>
        <w:tc>
          <w:tcPr>
            <w:tcW w:type="dxa" w:w="1077"/>
            <w:shd w:val="clear" w:color="auto" w:fill="A9D08E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BAJO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R-33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Falla de los puentes existentes por el paso de equipo pesado antes de su reemplazo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Bajo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0.030</w:t>
            </w:r>
          </w:p>
        </w:tc>
        <w:tc>
          <w:tcPr>
            <w:tcW w:type="dxa" w:w="1077"/>
            <w:shd w:val="clear" w:color="auto" w:fill="A9D08E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BAJO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Muy baja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0.010</w:t>
            </w:r>
          </w:p>
        </w:tc>
        <w:tc>
          <w:tcPr>
            <w:tcW w:type="dxa" w:w="1077"/>
            <w:shd w:val="clear" w:color="auto" w:fill="A9D08E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BAJO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R-20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Accidentes de tránsito y atropellos en la vía en servicio durante la obra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Muy bajo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0.025</w:t>
            </w:r>
          </w:p>
        </w:tc>
        <w:tc>
          <w:tcPr>
            <w:tcW w:type="dxa" w:w="1077"/>
            <w:shd w:val="clear" w:color="auto" w:fill="A9D08E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BAJO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Baja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0.015</w:t>
            </w:r>
          </w:p>
        </w:tc>
        <w:tc>
          <w:tcPr>
            <w:tcW w:type="dxa" w:w="1077"/>
            <w:shd w:val="clear" w:color="auto" w:fill="A9D08E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BAJO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R-31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Robo y vandalismo de materiales, señales y equipos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Muy bajo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0.025</w:t>
            </w:r>
          </w:p>
        </w:tc>
        <w:tc>
          <w:tcPr>
            <w:tcW w:type="dxa" w:w="1077"/>
            <w:shd w:val="clear" w:color="auto" w:fill="A9D08E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BAJO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Baja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0.015</w:t>
            </w:r>
          </w:p>
        </w:tc>
        <w:tc>
          <w:tcPr>
            <w:tcW w:type="dxa" w:w="1077"/>
            <w:shd w:val="clear" w:color="auto" w:fill="A9D08E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BAJO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R-32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Incendios y quemas agrícolas en época seca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Muy bajo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0.015</w:t>
            </w:r>
          </w:p>
        </w:tc>
        <w:tc>
          <w:tcPr>
            <w:tcW w:type="dxa" w:w="1077"/>
            <w:shd w:val="clear" w:color="auto" w:fill="A9D08E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BAJO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Baja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0.015</w:t>
            </w:r>
          </w:p>
        </w:tc>
        <w:tc>
          <w:tcPr>
            <w:tcW w:type="dxa" w:w="1077"/>
            <w:shd w:val="clear" w:color="auto" w:fill="A9D08E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BAJO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R-22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Sismo de intensidad moderada a alta durante la obra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Muy baja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Bajo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0.010</w:t>
            </w:r>
          </w:p>
        </w:tc>
        <w:tc>
          <w:tcPr>
            <w:tcW w:type="dxa" w:w="1077"/>
            <w:shd w:val="clear" w:color="auto" w:fill="A9D08E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BAJO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Muy baja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0.010</w:t>
            </w:r>
          </w:p>
        </w:tc>
        <w:tc>
          <w:tcPr>
            <w:tcW w:type="dxa" w:w="1077"/>
            <w:shd w:val="clear" w:color="auto" w:fill="A9D08E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BAJO</w:t>
            </w:r>
          </w:p>
        </w:tc>
      </w:tr>
    </w:tbl>
    <w:p>
      <w:pPr>
        <w:spacing w:before="0" w:after="80" w:line="276" w:lineRule="auto"/>
        <w:jc w:val="both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484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_calo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4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" w:line="276" w:lineRule="auto"/>
        <w:jc w:val="center"/>
      </w:pPr>
      <w:r>
        <w:rPr>
          <w:rFonts w:ascii="Arial" w:hAnsi="Arial" w:cs="Arial"/>
          <w:b/>
          <w:i w:val="0"/>
          <w:sz w:val="18"/>
        </w:rPr>
        <w:t>Figura N.° 06: Mapa de calor de los riesgos, inherente y residual</w:t>
      </w:r>
    </w:p>
    <w:p>
      <w:pPr>
        <w:spacing w:before="0" w:after="160" w:line="276" w:lineRule="auto"/>
        <w:jc w:val="center"/>
      </w:pPr>
      <w:r>
        <w:rPr>
          <w:rFonts w:ascii="Arial" w:hAnsi="Arial" w:cs="Arial"/>
          <w:b w:val="0"/>
          <w:i/>
          <w:sz w:val="16"/>
        </w:rPr>
        <w:t>Fuente: matriz de gestión de riesgos (Excel).</w:t>
      </w:r>
    </w:p>
    <w:p>
      <w:pPr>
        <w:spacing w:before="0" w:after="120" w:line="276" w:lineRule="auto"/>
        <w:jc w:val="both"/>
      </w:pPr>
      <w:r>
        <w:rPr>
          <w:rFonts w:ascii="Arial" w:hAnsi="Arial" w:cs="Arial"/>
          <w:b/>
          <w:i w:val="0"/>
          <w:sz w:val="20"/>
        </w:rPr>
        <w:t>Riesgos de nivel ALTO:</w:t>
      </w:r>
    </w:p>
    <w:p>
      <w:pPr>
        <w:spacing w:before="0" w:after="60" w:line="276" w:lineRule="auto"/>
        <w:ind w:left="510" w:hanging="255"/>
        <w:jc w:val="both"/>
      </w:pPr>
      <w:r>
        <w:rPr>
          <w:rFonts w:ascii="Arial" w:hAnsi="Arial" w:cs="Arial"/>
          <w:b w:val="0"/>
          <w:i w:val="0"/>
          <w:sz w:val="20"/>
        </w:rPr>
        <w:t>•  R-01 Lluvias estacionales intensas (octubre a abril) que paralizan el movimiento de tierras, la pavimentación y los vaciados. Clima cálido y húmedo con lluvias todo el año: 1,020 mm anuales en Tarapoto y 1,471 mm en Juanjuí (NOAA GHCN-Daily), con máximos en marzo y en octubre-noviembre; el plazo de 720 días abarca dos temporadas de lluvias.</w:t>
      </w:r>
    </w:p>
    <w:p>
      <w:pPr>
        <w:spacing w:before="0" w:after="60" w:line="276" w:lineRule="auto"/>
        <w:ind w:left="510" w:hanging="255"/>
        <w:jc w:val="both"/>
      </w:pPr>
      <w:r>
        <w:rPr>
          <w:rFonts w:ascii="Arial" w:hAnsi="Arial" w:cs="Arial"/>
          <w:b w:val="0"/>
          <w:i w:val="0"/>
          <w:sz w:val="20"/>
        </w:rPr>
        <w:t>•  R-08 Cantera insuficiente, sin calidad o sin autorización, con mayor distancia de transporte. Unos 423,600 m³ de material granular (terraplén, mejoramiento, subbase y base) dependen de canteras de río; la distancia media es ~31 km.</w:t>
      </w:r>
    </w:p>
    <w:p>
      <w:pPr>
        <w:spacing w:before="0" w:after="60" w:line="276" w:lineRule="auto"/>
        <w:ind w:left="510" w:hanging="255"/>
        <w:jc w:val="both"/>
      </w:pPr>
      <w:r>
        <w:rPr>
          <w:rFonts w:ascii="Arial" w:hAnsi="Arial" w:cs="Arial"/>
          <w:b w:val="0"/>
          <w:i w:val="0"/>
          <w:sz w:val="20"/>
        </w:rPr>
        <w:t>•  R-15 Demora o condicionamiento de la certificación ambiental. La FTE señala que se requiere estudio de impacto ambiental; sin certificación no se puede iniciar la obra.</w:t>
      </w:r>
    </w:p>
    <w:p>
      <w:pPr>
        <w:spacing w:before="0" w:after="60" w:line="276" w:lineRule="auto"/>
        <w:ind w:left="510" w:hanging="255"/>
        <w:jc w:val="both"/>
      </w:pPr>
      <w:r>
        <w:rPr>
          <w:rFonts w:ascii="Arial" w:hAnsi="Arial" w:cs="Arial"/>
          <w:b w:val="0"/>
          <w:i w:val="0"/>
          <w:sz w:val="20"/>
        </w:rPr>
        <w:t>•  R-25 Áreas de depósito de material excedente (DME) insuficientes. Se presupuesta 0.38 ha de DME para 297,756 m³ de excedente (altura equivalente de 78 m).</w:t>
      </w:r>
    </w:p>
    <w:p>
      <w:pPr>
        <w:pStyle w:val="Heading1"/>
        <w:keepNext/>
        <w:spacing w:before="240" w:after="120"/>
      </w:pPr>
      <w:r>
        <w:rPr>
          <w:rFonts w:ascii="Arial" w:hAnsi="Arial" w:cs="Arial"/>
          <w:b/>
          <w:i w:val="0"/>
          <w:color w:val="1F4E79"/>
          <w:sz w:val="24"/>
        </w:rPr>
        <w:t>7. ANÁLISIS CUANTITATIVO</w:t>
      </w:r>
    </w:p>
    <w:p>
      <w:pPr>
        <w:pStyle w:val="Heading2"/>
        <w:keepNext/>
        <w:spacing w:before="160" w:after="120"/>
      </w:pPr>
      <w:r>
        <w:rPr>
          <w:rFonts w:ascii="Arial" w:hAnsi="Arial" w:cs="Arial"/>
          <w:b/>
          <w:i w:val="0"/>
          <w:color w:val="1F4E79"/>
          <w:sz w:val="21"/>
        </w:rPr>
        <w:t>7.1 Valor monetario esperado</w:t>
      </w:r>
    </w:p>
    <w:p>
      <w:pPr>
        <w:spacing w:before="0" w:after="120" w:line="276" w:lineRule="auto"/>
        <w:jc w:val="both"/>
      </w:pPr>
      <w:r>
        <w:rPr>
          <w:rFonts w:ascii="Arial" w:hAnsi="Arial" w:cs="Arial"/>
          <w:b w:val="0"/>
          <w:i w:val="0"/>
          <w:sz w:val="20"/>
        </w:rPr>
        <w:t>El valor monetario esperado (VME) de cada riesgo es su probabilidad por el valor medio de su distribución triangular. La tabla muestra los riesgos con mayor VME de costo; la lista completa, con fórmulas, está en la hoja ANALISIS CUANTITATIVO.</w:t>
      </w:r>
    </w:p>
    <w:p>
      <w:pPr>
        <w:keepNext/>
        <w:spacing w:before="80" w:after="60" w:line="276" w:lineRule="auto"/>
        <w:jc w:val="center"/>
      </w:pPr>
      <w:r>
        <w:rPr>
          <w:rFonts w:ascii="Arial" w:hAnsi="Arial" w:cs="Arial"/>
          <w:b/>
          <w:i w:val="0"/>
          <w:sz w:val="18"/>
        </w:rPr>
        <w:t>Tabla N.° 10: Riesgos con mayor valor monetario esperado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Layout w:type="fixed"/>
        <w:tblW w:w="9072" w:type="dxa"/>
      </w:tblPr>
      <w:tblGrid>
        <w:gridCol w:w="680"/>
        <w:gridCol w:w="2948"/>
        <w:gridCol w:w="1077"/>
        <w:gridCol w:w="510"/>
        <w:gridCol w:w="1814"/>
        <w:gridCol w:w="1134"/>
        <w:gridCol w:w="907"/>
      </w:tblGrid>
      <w:tr>
        <w:trPr>
          <w:tblHeader w:val="true"/>
        </w:trPr>
        <w:tc>
          <w:tcPr>
            <w:tcW w:type="dxa" w:w="680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4"/>
              </w:rPr>
              <w:t>COD.</w:t>
            </w:r>
          </w:p>
        </w:tc>
        <w:tc>
          <w:tcPr>
            <w:tcW w:type="dxa" w:w="2948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4"/>
              </w:rPr>
              <w:t>RIESGO</w:t>
            </w:r>
          </w:p>
        </w:tc>
        <w:tc>
          <w:tcPr>
            <w:tcW w:type="dxa" w:w="1077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4"/>
              </w:rPr>
              <w:t>ASIGNADO</w:t>
            </w:r>
          </w:p>
        </w:tc>
        <w:tc>
          <w:tcPr>
            <w:tcW w:type="dxa" w:w="510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4"/>
              </w:rPr>
              <w:t>P</w:t>
            </w:r>
          </w:p>
        </w:tc>
        <w:tc>
          <w:tcPr>
            <w:tcW w:type="dxa" w:w="1814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4"/>
              </w:rPr>
              <w:t>COSTO MÍN. - MÁS PROB. - MÁX. (S/ miles)</w:t>
            </w:r>
          </w:p>
        </w:tc>
        <w:tc>
          <w:tcPr>
            <w:tcW w:type="dxa" w:w="1134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4"/>
              </w:rPr>
              <w:t>VME COSTO (S/)</w:t>
            </w:r>
          </w:p>
        </w:tc>
        <w:tc>
          <w:tcPr>
            <w:tcW w:type="dxa" w:w="907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4"/>
              </w:rPr>
              <w:t>VME PLAZO (días)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R-08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Cantera insuficiente, sin calidad o sin autorización, con mayor distancia de transporte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Entidad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0.50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920 - 2,770 - 7,380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1,845,000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17.5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R-16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Deficiencias e incompatibilidades del expediente técnico (metrados, longitudes, diseños)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Entidad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0.70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500 - 1,500 - 4,000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1,400,000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22.2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R-17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Variación de precios de insumos críticos (asfalto, combustible, acero, TMC)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Entidad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0.70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400 - 1,200 - 3,000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1,073,333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0.0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R-25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Áreas de depósito de material excedente (DME) insuficientes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Entidad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0.90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300 - 900 - 2,000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960,000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22.5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R-07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Subrasante de menor capacidad de soporte que la prevista en el expediente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Entidad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0.50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490 - 1,220 - 2,450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693,333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11.7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R-06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Saturación de terraplenes por inundación de arrozales, canales de riego y empozamientos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Compartido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0.70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200 - 600 - 1,500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536,667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17.5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R-02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Lluvias extraordinarias o anomalías climáticas (El Niño / La Niña) con desborde de quebradas y daños a la obra ejecutada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Entidad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0.30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300 - 1,200 - 3,500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500,000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10.5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R-04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Inestabilidad de taludes y deslizamientos durante los cortes en ladera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Compartido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0.50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200 - 700 - 2,000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483,333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12.0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R-01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Lluvias estacionales intensas (octubre a abril) que paralizan el movimiento de tierras, la pavimentación y los vaciados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Contratista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0.90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150 - 400 - 900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435,000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28.5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R-05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Erosión y socavación de la plataforma y de los terraplenes en construcción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Contratista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0.70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150 - 500 - 1,200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431,667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14.0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R-10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Falta de libre disponibilidad del terreno para el ensanche de la plataforma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Entidad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0.70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100 - 400 - 1,200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396,667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31.5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R-34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Cambio de diseño de puentes por condiciones de cauce, socavación o cimentación distintas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Entidad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0.30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200 - 800 - 2,500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350,000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13.5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R-23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Retraso en el financiamiento o en los pagos de valorizaciones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Entidad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0.50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100 - 400 - 1,500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333,333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21.7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R-03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Crecidas de quebradas durante la construcción de estribos de los 5 puentes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Contratista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0.50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100 - 350 - 900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225,000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12.0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R-11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Interferencias con redes eléctricas, de agua potable y de telecomunicaciones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Entidad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0.70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50 - 200 - 500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175,000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17.5</w:t>
            </w:r>
          </w:p>
        </w:tc>
      </w:tr>
    </w:tbl>
    <w:p>
      <w:pPr>
        <w:spacing w:before="0" w:after="80" w:line="276" w:lineRule="auto"/>
        <w:jc w:val="both"/>
      </w:pPr>
    </w:p>
    <w:p>
      <w:pPr>
        <w:pStyle w:val="Heading2"/>
        <w:keepNext/>
        <w:spacing w:before="160" w:after="120"/>
      </w:pPr>
      <w:r>
        <w:rPr>
          <w:rFonts w:ascii="Arial" w:hAnsi="Arial" w:cs="Arial"/>
          <w:b/>
          <w:i w:val="0"/>
          <w:color w:val="1F4E79"/>
          <w:sz w:val="21"/>
        </w:rPr>
        <w:t>7.2 Simulación de Monte Carlo</w:t>
      </w:r>
    </w:p>
    <w:p>
      <w:pPr>
        <w:spacing w:before="0" w:after="120" w:line="276" w:lineRule="auto"/>
        <w:jc w:val="both"/>
      </w:pPr>
      <w:r>
        <w:rPr>
          <w:rFonts w:ascii="Arial" w:hAnsi="Arial" w:cs="Arial"/>
          <w:b w:val="0"/>
          <w:i w:val="0"/>
          <w:sz w:val="20"/>
        </w:rPr>
        <w:t>Se corrieron 20,000 iteraciones. En cada una, cada riesgo ocurre o no según su probabilidad y, si ocurre, su costo y su retraso se toman de su distribución triangular. Para la Entidad se suman los riesgos que le corresponden, la mitad de los compartidos (descontando lo que cubre la póliza CAR en R-02 y R-22) y el costo de los días de ampliación que le son atribuibles.</w:t>
      </w:r>
    </w:p>
    <w:p>
      <w:pPr>
        <w:keepNext/>
        <w:spacing w:before="80" w:after="60" w:line="276" w:lineRule="auto"/>
        <w:jc w:val="center"/>
      </w:pPr>
      <w:r>
        <w:rPr>
          <w:rFonts w:ascii="Arial" w:hAnsi="Arial" w:cs="Arial"/>
          <w:b/>
          <w:i w:val="0"/>
          <w:sz w:val="18"/>
        </w:rPr>
        <w:t>Tabla N.° 11: Resultados de la simulación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Layout w:type="fixed"/>
        <w:tblW w:w="8845" w:type="dxa"/>
      </w:tblPr>
      <w:tblGrid>
        <w:gridCol w:w="4309"/>
        <w:gridCol w:w="1134"/>
        <w:gridCol w:w="1134"/>
        <w:gridCol w:w="1134"/>
        <w:gridCol w:w="1134"/>
      </w:tblGrid>
      <w:tr>
        <w:trPr>
          <w:tblHeader w:val="true"/>
        </w:trPr>
        <w:tc>
          <w:tcPr>
            <w:tcW w:type="dxa" w:w="4309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RESULTADO</w:t>
            </w:r>
          </w:p>
        </w:tc>
        <w:tc>
          <w:tcPr>
            <w:tcW w:type="dxa" w:w="1134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P50</w:t>
            </w:r>
          </w:p>
        </w:tc>
        <w:tc>
          <w:tcPr>
            <w:tcW w:type="dxa" w:w="1134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P80</w:t>
            </w:r>
          </w:p>
        </w:tc>
        <w:tc>
          <w:tcPr>
            <w:tcW w:type="dxa" w:w="1134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P90</w:t>
            </w:r>
          </w:p>
        </w:tc>
        <w:tc>
          <w:tcPr>
            <w:tcW w:type="dxa" w:w="1134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MEDIA</w:t>
            </w:r>
          </w:p>
        </w:tc>
      </w:tr>
      <w:tr>
        <w:tc>
          <w:tcPr>
            <w:tcW w:type="dxa" w:w="4309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Costo para la Entidad, inherente (S/ M)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11.51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14.46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16.04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11.62</w:t>
            </w:r>
          </w:p>
        </w:tc>
      </w:tr>
      <w:tr>
        <w:tc>
          <w:tcPr>
            <w:tcW w:type="dxa" w:w="4309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Costo para la Entidad, residual (S/ M)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5.56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7.87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9.27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5.82</w:t>
            </w:r>
          </w:p>
        </w:tc>
      </w:tr>
      <w:tr>
        <w:tc>
          <w:tcPr>
            <w:tcW w:type="dxa" w:w="4309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Retraso de la obra, inherente (días)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196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230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248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196</w:t>
            </w:r>
          </w:p>
        </w:tc>
      </w:tr>
      <w:tr>
        <w:tc>
          <w:tcPr>
            <w:tcW w:type="dxa" w:w="4309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Retraso de la obra, residual (días)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113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148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167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114</w:t>
            </w:r>
          </w:p>
        </w:tc>
      </w:tr>
      <w:tr>
        <w:tc>
          <w:tcPr>
            <w:tcW w:type="dxa" w:w="4309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Retraso atribuible a la Entidad, residual (días)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77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111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131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4309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Costo de riesgos del contratista, residual (S/ M)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1.63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2.25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2.59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1.68</w:t>
            </w:r>
          </w:p>
        </w:tc>
      </w:tr>
    </w:tbl>
    <w:p>
      <w:pPr>
        <w:spacing w:before="0" w:after="80" w:line="276" w:lineRule="auto"/>
        <w:jc w:val="both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106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_montecarl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0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" w:line="276" w:lineRule="auto"/>
        <w:jc w:val="center"/>
      </w:pPr>
      <w:r>
        <w:rPr>
          <w:rFonts w:ascii="Arial" w:hAnsi="Arial" w:cs="Arial"/>
          <w:b/>
          <w:i w:val="0"/>
          <w:sz w:val="18"/>
        </w:rPr>
        <w:t>Figura N.° 07: Curvas de probabilidad acumulada del costo para la Entidad y del retraso</w:t>
      </w:r>
    </w:p>
    <w:p>
      <w:pPr>
        <w:spacing w:before="0" w:after="160" w:line="276" w:lineRule="auto"/>
        <w:jc w:val="center"/>
      </w:pPr>
      <w:r>
        <w:rPr>
          <w:rFonts w:ascii="Arial" w:hAnsi="Arial" w:cs="Arial"/>
          <w:b w:val="0"/>
          <w:i/>
          <w:sz w:val="16"/>
        </w:rPr>
        <w:t>Fuente: simulación de Monte Carlo, matriz de gestión de riesgos.</w:t>
      </w:r>
    </w:p>
    <w:p>
      <w:pPr>
        <w:spacing w:before="0" w:after="120" w:line="276" w:lineRule="auto"/>
        <w:jc w:val="both"/>
      </w:pPr>
      <w:r>
        <w:rPr>
          <w:rFonts w:ascii="Arial" w:hAnsi="Arial" w:cs="Arial"/>
          <w:b/>
          <w:i w:val="0"/>
          <w:sz w:val="20"/>
        </w:rPr>
        <w:t>Lectura de los resultados:</w:t>
      </w:r>
    </w:p>
    <w:p>
      <w:pPr>
        <w:spacing w:before="0" w:after="60" w:line="276" w:lineRule="auto"/>
        <w:ind w:left="510" w:hanging="255"/>
        <w:jc w:val="both"/>
      </w:pPr>
      <w:r>
        <w:rPr>
          <w:rFonts w:ascii="Arial" w:hAnsi="Arial" w:cs="Arial"/>
          <w:b w:val="0"/>
          <w:i w:val="0"/>
          <w:sz w:val="20"/>
        </w:rPr>
        <w:t>•  Sin respuesta, la exposición de la Entidad al 80 % de confianza es de S/ 14.46 M (11.8 % del presupuesto de obra) y la obra podría retrasarse unos 230 días.</w:t>
      </w:r>
    </w:p>
    <w:p>
      <w:pPr>
        <w:spacing w:before="0" w:after="60" w:line="276" w:lineRule="auto"/>
        <w:ind w:left="510" w:hanging="255"/>
        <w:jc w:val="both"/>
      </w:pPr>
      <w:r>
        <w:rPr>
          <w:rFonts w:ascii="Arial" w:hAnsi="Arial" w:cs="Arial"/>
          <w:b w:val="0"/>
          <w:i w:val="0"/>
          <w:sz w:val="20"/>
        </w:rPr>
        <w:t>•  Con las respuestas ejecutadas, baja a S/ 7.87 M (6.4 %) y el retraso a unos 148 días. La mayor reducción viene de las acciones previas a la convocatoria (canteras, DME, certificación ambiental, predios, interferencias y revisión del expediente).</w:t>
      </w:r>
    </w:p>
    <w:p>
      <w:pPr>
        <w:spacing w:before="0" w:after="60" w:line="276" w:lineRule="auto"/>
        <w:ind w:left="510" w:hanging="255"/>
        <w:jc w:val="both"/>
      </w:pPr>
      <w:r>
        <w:rPr>
          <w:rFonts w:ascii="Arial" w:hAnsi="Arial" w:cs="Arial"/>
          <w:b w:val="0"/>
          <w:i w:val="0"/>
          <w:sz w:val="20"/>
        </w:rPr>
        <w:t>•  Reserva de contingencia recomendada para la Entidad: S/ 7.87 M (P80 residual, 6.4 % del presupuesto de obra), para cubrir prestaciones adicionales, mayores metrados, reajustes y ampliaciones de plazo derivados de los riesgos que asume.</w:t>
      </w:r>
    </w:p>
    <w:p>
      <w:pPr>
        <w:spacing w:before="0" w:after="60" w:line="276" w:lineRule="auto"/>
        <w:ind w:left="510" w:hanging="255"/>
        <w:jc w:val="both"/>
      </w:pPr>
      <w:r>
        <w:rPr>
          <w:rFonts w:ascii="Arial" w:hAnsi="Arial" w:cs="Arial"/>
          <w:b w:val="0"/>
          <w:i w:val="0"/>
          <w:sz w:val="20"/>
        </w:rPr>
        <w:t>•  El retraso residual (P80 de 148 días) se debe sobre todo a las lluvias y a la gestión de la obra; para no superar los 720 días hay que programar los puentes, terraplenes y carpeta en estiaje y abrir frentes paralelos (oportunidad O-02).</w:t>
      </w:r>
    </w:p>
    <w:p>
      <w:pPr>
        <w:pStyle w:val="Heading1"/>
        <w:keepNext/>
        <w:spacing w:before="240" w:after="120"/>
      </w:pPr>
      <w:r>
        <w:rPr>
          <w:rFonts w:ascii="Arial" w:hAnsi="Arial" w:cs="Arial"/>
          <w:b/>
          <w:i w:val="0"/>
          <w:color w:val="1F4E79"/>
          <w:sz w:val="24"/>
        </w:rPr>
        <w:t>8. OBSERVACIONES A LOS DOCUMENTOS DEL PROYECTO</w:t>
      </w:r>
    </w:p>
    <w:p>
      <w:pPr>
        <w:spacing w:before="0" w:after="120" w:line="276" w:lineRule="auto"/>
        <w:jc w:val="both"/>
      </w:pPr>
      <w:r>
        <w:rPr>
          <w:rFonts w:ascii="Arial" w:hAnsi="Arial" w:cs="Arial"/>
          <w:b w:val="0"/>
          <w:i w:val="0"/>
          <w:sz w:val="20"/>
        </w:rPr>
        <w:t>La revisión cruzada del inventario vial, la FTE, su resumen ejecutivo y el presupuesto S10 encontró las siguientes incompatibilidades. Cada una es una causa del riesgo R-16 o de otro riesgo, y debe levantarse antes de la convocatoria:</w:t>
      </w:r>
    </w:p>
    <w:p>
      <w:pPr>
        <w:keepNext/>
        <w:spacing w:before="80" w:after="60" w:line="276" w:lineRule="auto"/>
        <w:jc w:val="center"/>
      </w:pPr>
      <w:r>
        <w:rPr>
          <w:rFonts w:ascii="Arial" w:hAnsi="Arial" w:cs="Arial"/>
          <w:b/>
          <w:i w:val="0"/>
          <w:sz w:val="18"/>
        </w:rPr>
        <w:t>Tabla N.° 12: Observaciones que generan riesgo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Layout w:type="fixed"/>
        <w:tblW w:w="9185" w:type="dxa"/>
      </w:tblPr>
      <w:tblGrid>
        <w:gridCol w:w="453"/>
        <w:gridCol w:w="1360"/>
        <w:gridCol w:w="2154"/>
        <w:gridCol w:w="2381"/>
        <w:gridCol w:w="2041"/>
        <w:gridCol w:w="793"/>
      </w:tblGrid>
      <w:tr>
        <w:trPr>
          <w:tblHeader w:val="true"/>
        </w:trPr>
        <w:tc>
          <w:tcPr>
            <w:tcW w:type="dxa" w:w="454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4"/>
              </w:rPr>
              <w:t>N.°</w:t>
            </w:r>
          </w:p>
        </w:tc>
        <w:tc>
          <w:tcPr>
            <w:tcW w:type="dxa" w:w="1361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4"/>
              </w:rPr>
              <w:t>ASPECTO</w:t>
            </w:r>
          </w:p>
        </w:tc>
        <w:tc>
          <w:tcPr>
            <w:tcW w:type="dxa" w:w="2154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4"/>
              </w:rPr>
              <w:t>DATO EN LOS DOCUMENTOS</w:t>
            </w:r>
          </w:p>
        </w:tc>
        <w:tc>
          <w:tcPr>
            <w:tcW w:type="dxa" w:w="2381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4"/>
              </w:rPr>
              <w:t>OBSERVACIÓN</w:t>
            </w:r>
          </w:p>
        </w:tc>
        <w:tc>
          <w:tcPr>
            <w:tcW w:type="dxa" w:w="2041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4"/>
              </w:rPr>
              <w:t>RECOMENDACIÓN</w:t>
            </w:r>
          </w:p>
        </w:tc>
        <w:tc>
          <w:tcPr>
            <w:tcW w:type="dxa" w:w="794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4"/>
              </w:rPr>
              <w:t>RIESGO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1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Longitud del tramo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FTE (24.70 km, fin 44+090); S10 1.04.01 Topografía (24.09 km); inventario vial (25.350 km, fin 44+693.39); eje del plano clave PC-01 (24.77 km hasta 44+090)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Tres longitudes distintas para la misma meta física; el tramo 44+090 a 44+693 (zona urbana de Shamboyacu) no está en el PC-01.</w:t>
            </w:r>
          </w:p>
        </w:tc>
        <w:tc>
          <w:tcPr>
            <w:tcW w:type="dxa" w:w="204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Fijar una sola longitud y progresivas con la topografía del expediente y ajustar todos los metrados por kilómetro.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R-16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2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Plazo de ejecución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Resumen ejecutivo: 720 días (24 meses); FTE 15.2 y 15.3: ejecución física en 8 meses (meses 3 a 10)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Plazos incompatibles; afecta gastos generales, cronograma climático y partidas mensuales.</w:t>
            </w:r>
          </w:p>
        </w:tc>
        <w:tc>
          <w:tcPr>
            <w:tcW w:type="dxa" w:w="204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Definir el plazo con un cronograma por ruta crítica y calendario de lluvias.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R-16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3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Peligros declarados en la FTE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FTE 18.3: deslizamientos NO, inundaciones NO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El inventario registra inundación por arrozales (20+360 a 21+170), empozamientos e inestabilidad de taludes de 20 y 30 m (36+060 y 37+520).</w:t>
            </w:r>
          </w:p>
        </w:tc>
        <w:tc>
          <w:tcPr>
            <w:tcW w:type="dxa" w:w="204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Corregir la FTE y sustentar las medidas de reducción en el expediente (taludes, drenaje, subdrenaje).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R-04, R-06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4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Orografía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FTE y resumen ejecutivo: orografía plana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El modelo digital Copernicus GLO-30 muestra terreno ondulado desde el km 23 (relieve local de 20 a 90 m y laderas de hasta 40°).</w:t>
            </w:r>
          </w:p>
        </w:tc>
        <w:tc>
          <w:tcPr>
            <w:tcW w:type="dxa" w:w="204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Revisar la clasificación orográfica y el diseño geométrico en 23+000 a 44+693.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R-04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5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Prueba de carga del puente Paucarillo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S10 1.10.03.04.08: 46.00 glb x S/ 5,813.86 = S/ 267,437.56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En los demás puentes la cantidad es 1.00 glb; sobrecosto aparente de S/ 261,623.70 de costo directo.</w:t>
            </w:r>
          </w:p>
        </w:tc>
        <w:tc>
          <w:tcPr>
            <w:tcW w:type="dxa" w:w="204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Corregir el metrado a 1.00 glb.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R-16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Precio de la base granular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S10 1.06.01.02: S/ 36.51/m³ frente a 1.06.01.01 Subbase S/ 165.83/m³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La base suele costar más que la subbase; el precio parece incompleto.</w:t>
            </w:r>
          </w:p>
        </w:tc>
        <w:tc>
          <w:tcPr>
            <w:tcW w:type="dxa" w:w="204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Revisar el análisis de precios unitarios.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R-16, R-17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7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Cemento asfáltico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S10 1.06.02.03: 1,440,431.91 gal para 10,469.02 m³ de MAC (unos 138 gal/m³)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El consumo usual es del orden de 30 a 40 gal/m³; la cantidad parece sobrestimada unas 3 a 4 veces (S/ 5.76 M de costo directo).</w:t>
            </w:r>
          </w:p>
        </w:tc>
        <w:tc>
          <w:tcPr>
            <w:tcW w:type="dxa" w:w="204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Recalcular con el diseño de mezcla (contenido óptimo de asfalto y densidad).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R-16, R-17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8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Imprimación y carpeta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S10: imprimación 122,176 m²; MAC 10,469.02 m³; carpeta e = 2" según el resumen ejecutivo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122,176 m² x 0.05 m = 6,109 m³; el volumen de MAC es 1.7 veces mayor.</w:t>
            </w:r>
          </w:p>
        </w:tc>
        <w:tc>
          <w:tcPr>
            <w:tcW w:type="dxa" w:w="204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Compatibilizar espesor, área y volumen de la carpeta.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R-16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9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Depósito de material excedente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S10 1.04.04: DME 0.38 ha; 1.11.01.01: acomodo de 297,756.23 m³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Equivale a 78 m de altura de relleno; el área es insuficiente.</w:t>
            </w:r>
          </w:p>
        </w:tc>
        <w:tc>
          <w:tcPr>
            <w:tcW w:type="dxa" w:w="204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Identificar DME de 6 a 7.5 ha y ajustar accesos y transporte.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R-25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10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Desvío temporal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S10 1.04.11: 18.00 m x S/ 12,768.99 = S/ 229,841.82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El precio corresponde a un kilómetro (igual al de habilitación de accesos); la unidad parece errada.</w:t>
            </w:r>
          </w:p>
        </w:tc>
        <w:tc>
          <w:tcPr>
            <w:tcW w:type="dxa" w:w="204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Revisar unidad y metrado.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R-16, R-27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11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Metrados de puentes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S10 1.10.01.02 y 1.10.02.02 (Tingo de Ponasa y Barco); 1.10.03 a 1.10.05 (Paucarillo, Apangurayco, Chanchamayco)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Subestructuras con cantidades idénticas en cauces distintos (p. ej. 954.48 m³ de concreto y 52,715.90 kg de acero en ambos puentes de 40 m).</w:t>
            </w:r>
          </w:p>
        </w:tc>
        <w:tc>
          <w:tcPr>
            <w:tcW w:type="dxa" w:w="204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Verificar estudios de hidrología, socavación y geotecnia por puente.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R-34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12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Plan de contingencias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S10 1.11.09: S/ 1,600 (1 simulacro y 1 capacitación)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Insuficiente para 24 meses de obra con 5 puentes y dos temporadas de lluvias.</w:t>
            </w:r>
          </w:p>
        </w:tc>
        <w:tc>
          <w:tcPr>
            <w:tcW w:type="dxa" w:w="204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Presupuestar el plan de contingencias de obra con recursos para emergencias por lluvias.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R-02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13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Plan de gestión social y riego para polvo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S10 1.11.08 (3 meses) y 1.11.04 (18 meses)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Duraciones menores que el plazo de obra.</w:t>
            </w:r>
          </w:p>
        </w:tc>
        <w:tc>
          <w:tcPr>
            <w:tcW w:type="dxa" w:w="204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Ajustar a la duración real de la obra.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R-13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14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Diseño sísmico de puentes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FTE 18.3: medida 'diseño de acuerdo con la Norma E.030'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Los puentes se diseñan con el Manual de Puentes del MTC (R.D. N.° 19-2018-MTC/14); la E.030 aplica a edificaciones.</w:t>
            </w:r>
          </w:p>
        </w:tc>
        <w:tc>
          <w:tcPr>
            <w:tcW w:type="dxa" w:w="204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Corregir la referencia.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R-22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15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Textos de otro proyecto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Resumen ejecutivo H.1 a H.3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Se menciona la vía SM-119 Puerto Tarata - Alto Cuñumbuza, el distrito de Pajarillo y una carretera de 42.89 km.</w:t>
            </w:r>
          </w:p>
        </w:tc>
        <w:tc>
          <w:tcPr>
            <w:tcW w:type="dxa" w:w="204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Corregir los textos de sostenibilidad.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R-16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16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Operación y mantenimiento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Resumen ejecutivo, cuadros 08 y 09: 'mantenimiento de cables y anclajes' de puentes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Los puentes proyectados son de vigas y losa; no tienen cables.</w:t>
            </w:r>
          </w:p>
        </w:tc>
        <w:tc>
          <w:tcPr>
            <w:tcW w:type="dxa" w:w="204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Recalcular los costos de O&amp;M de puentes.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R-16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17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Ubicación administrativa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FTE: ubigeo 220708 y distrito Tingo de Ponasa; resumen ejecutivo: ubigeo 220709, distrito Shamboyacu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Datos administrativos inconsistentes entre documentos.</w:t>
            </w:r>
          </w:p>
        </w:tc>
        <w:tc>
          <w:tcPr>
            <w:tcW w:type="dxa" w:w="204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Uniformizar distrito y ubigeo con el INEI.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R-16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18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Monto en letras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S10, página 9: 'CIENTO TREINTA Y UN MILLONES CUATROCIENTOS NOVENTA Y DOS MIL ...'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No coincide con el total en números (S/ 132,696,945.59).</w:t>
            </w:r>
          </w:p>
        </w:tc>
        <w:tc>
          <w:tcPr>
            <w:tcW w:type="dxa" w:w="204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Corregir el monto en letras.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R-16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19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Interferencias, CIRA y PACRI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FTE 11: no se marcó el estudio de factibilidad de servicios, el CIRA ni el PACRI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Hay 73 postes a reubicar, pases de agua potable bajo la vía y ensanche en 9 localidades.</w:t>
            </w:r>
          </w:p>
        </w:tc>
        <w:tc>
          <w:tcPr>
            <w:tcW w:type="dxa" w:w="204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Evaluar y tramitar cada documento antes de convocar.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R-10, R-11, R-14</w:t>
            </w:r>
          </w:p>
        </w:tc>
      </w:tr>
    </w:tbl>
    <w:p>
      <w:pPr>
        <w:spacing w:before="0" w:after="80" w:line="276" w:lineRule="auto"/>
        <w:jc w:val="both"/>
      </w:pPr>
    </w:p>
    <w:p>
      <w:pPr>
        <w:pStyle w:val="Heading1"/>
        <w:keepNext/>
        <w:spacing w:before="240" w:after="120"/>
      </w:pPr>
      <w:r>
        <w:rPr>
          <w:rFonts w:ascii="Arial" w:hAnsi="Arial" w:cs="Arial"/>
          <w:b/>
          <w:i w:val="0"/>
          <w:color w:val="1F4E79"/>
          <w:sz w:val="24"/>
        </w:rPr>
        <w:t>9. PLAN DE RESPUESTA</w:t>
      </w:r>
    </w:p>
    <w:p>
      <w:pPr>
        <w:pStyle w:val="Heading2"/>
        <w:keepNext/>
        <w:spacing w:before="160" w:after="120"/>
      </w:pPr>
      <w:r>
        <w:rPr>
          <w:rFonts w:ascii="Arial" w:hAnsi="Arial" w:cs="Arial"/>
          <w:b/>
          <w:i w:val="0"/>
          <w:color w:val="1F4E79"/>
          <w:sz w:val="21"/>
        </w:rPr>
        <w:t>9.1 Acciones previas a la convocatoria</w:t>
      </w:r>
    </w:p>
    <w:p>
      <w:pPr>
        <w:spacing w:before="0" w:after="120" w:line="276" w:lineRule="auto"/>
        <w:jc w:val="both"/>
      </w:pPr>
      <w:r>
        <w:rPr>
          <w:rFonts w:ascii="Arial" w:hAnsi="Arial" w:cs="Arial"/>
          <w:b w:val="0"/>
          <w:i w:val="0"/>
          <w:sz w:val="20"/>
        </w:rPr>
        <w:t>Son las acciones de mayor efecto, porque eliminan o reducen riesgos de la Entidad antes de que exista un contrato:</w:t>
      </w:r>
    </w:p>
    <w:p>
      <w:pPr>
        <w:spacing w:before="0" w:after="60" w:line="276" w:lineRule="auto"/>
        <w:ind w:left="510" w:hanging="255"/>
        <w:jc w:val="both"/>
      </w:pPr>
      <w:r>
        <w:rPr>
          <w:rFonts w:ascii="Arial" w:hAnsi="Arial" w:cs="Arial"/>
          <w:b w:val="0"/>
          <w:i w:val="0"/>
          <w:sz w:val="20"/>
        </w:rPr>
        <w:t>•  R-08 (ALTO): Antes de convocar: ensayos de calidad y cálculo de potencia, autorización de la municipalidad y de la ANA para extracción en cauce, y una cantera alternativa con su distancia.</w:t>
      </w:r>
    </w:p>
    <w:p>
      <w:pPr>
        <w:spacing w:before="0" w:after="60" w:line="276" w:lineRule="auto"/>
        <w:ind w:left="510" w:hanging="255"/>
        <w:jc w:val="both"/>
      </w:pPr>
      <w:r>
        <w:rPr>
          <w:rFonts w:ascii="Arial" w:hAnsi="Arial" w:cs="Arial"/>
          <w:b w:val="0"/>
          <w:i w:val="0"/>
          <w:sz w:val="20"/>
        </w:rPr>
        <w:t>•  R-15 (ALTO): Obtener la certificación ambiental de la autoridad competente del SEIA (Ley N.° 27446) antes de convocar; compatibilizar el PMA con el presupuesto.</w:t>
      </w:r>
    </w:p>
    <w:p>
      <w:pPr>
        <w:spacing w:before="0" w:after="60" w:line="276" w:lineRule="auto"/>
        <w:ind w:left="510" w:hanging="255"/>
        <w:jc w:val="both"/>
      </w:pPr>
      <w:r>
        <w:rPr>
          <w:rFonts w:ascii="Arial" w:hAnsi="Arial" w:cs="Arial"/>
          <w:b w:val="0"/>
          <w:i w:val="0"/>
          <w:sz w:val="20"/>
        </w:rPr>
        <w:t>•  R-25 (ALTO): Identificar DME con capacidad suficiente (unas 6 a 7.5 ha con 4 a 5 m de altura), con autorización del propietario y ubicación aprobada en el estudio ambiental.</w:t>
      </w:r>
    </w:p>
    <w:p>
      <w:pPr>
        <w:spacing w:before="0" w:after="60" w:line="276" w:lineRule="auto"/>
        <w:ind w:left="510" w:hanging="255"/>
        <w:jc w:val="both"/>
      </w:pPr>
      <w:r>
        <w:rPr>
          <w:rFonts w:ascii="Arial" w:hAnsi="Arial" w:cs="Arial"/>
          <w:b w:val="0"/>
          <w:i w:val="0"/>
          <w:sz w:val="20"/>
        </w:rPr>
        <w:t>•  R-10 (MODERADO): Catastro de afectaciones por progresiva; actas de libre disponibilidad firmadas; evaluar el PACRI y el saneamiento físico-legal (Ley N.° 30025) antes de la convocatoria.</w:t>
      </w:r>
    </w:p>
    <w:p>
      <w:pPr>
        <w:spacing w:before="0" w:after="60" w:line="276" w:lineRule="auto"/>
        <w:ind w:left="510" w:hanging="255"/>
        <w:jc w:val="both"/>
      </w:pPr>
      <w:r>
        <w:rPr>
          <w:rFonts w:ascii="Arial" w:hAnsi="Arial" w:cs="Arial"/>
          <w:b w:val="0"/>
          <w:i w:val="0"/>
          <w:sz w:val="20"/>
        </w:rPr>
        <w:t>•  R-16 (MODERADO): Revisión integral y compatibilización del expediente antes de convocar; levantar las observaciones de la sección 7; en solo construcción, el contratista revisa el expediente e informa los riesgos al supervisor.</w:t>
      </w:r>
    </w:p>
    <w:p>
      <w:pPr>
        <w:spacing w:before="0" w:after="60" w:line="276" w:lineRule="auto"/>
        <w:ind w:left="510" w:hanging="255"/>
        <w:jc w:val="both"/>
      </w:pPr>
      <w:r>
        <w:rPr>
          <w:rFonts w:ascii="Arial" w:hAnsi="Arial" w:cs="Arial"/>
          <w:b w:val="0"/>
          <w:i w:val="0"/>
          <w:sz w:val="20"/>
        </w:rPr>
        <w:t>•  R-04 (MODERADO): Antes del inicio: verificar la estabilidad de cortes (factor de seguridad estático y seudoestático) y el diseño de muros en esos sectores; durante la obra: cortes por banquetas de arriba hacia abajo, drenaje de coronación, hitos de control de desplazamiento.</w:t>
      </w:r>
    </w:p>
    <w:p>
      <w:pPr>
        <w:spacing w:before="0" w:after="60" w:line="276" w:lineRule="auto"/>
        <w:ind w:left="510" w:hanging="255"/>
        <w:jc w:val="both"/>
      </w:pPr>
      <w:r>
        <w:rPr>
          <w:rFonts w:ascii="Arial" w:hAnsi="Arial" w:cs="Arial"/>
          <w:b w:val="0"/>
          <w:i w:val="0"/>
          <w:sz w:val="20"/>
        </w:rPr>
        <w:t>•  R-07 (MODERADO): Completar calicatas y ensayos CBR cada 500 m antes de la convocatoria; definir criterios de reemplazo en el expediente.</w:t>
      </w:r>
    </w:p>
    <w:p>
      <w:pPr>
        <w:spacing w:before="0" w:after="60" w:line="276" w:lineRule="auto"/>
        <w:ind w:left="510" w:hanging="255"/>
        <w:jc w:val="both"/>
      </w:pPr>
      <w:r>
        <w:rPr>
          <w:rFonts w:ascii="Arial" w:hAnsi="Arial" w:cs="Arial"/>
          <w:b w:val="0"/>
          <w:i w:val="0"/>
          <w:sz w:val="20"/>
        </w:rPr>
        <w:t>•  R-09 (MODERADO): Tramitar las autorizaciones antes del inicio de obra y entregarlas al contratista con el expediente.</w:t>
      </w:r>
    </w:p>
    <w:p>
      <w:pPr>
        <w:spacing w:before="0" w:after="60" w:line="276" w:lineRule="auto"/>
        <w:ind w:left="510" w:hanging="255"/>
        <w:jc w:val="both"/>
      </w:pPr>
      <w:r>
        <w:rPr>
          <w:rFonts w:ascii="Arial" w:hAnsi="Arial" w:cs="Arial"/>
          <w:b w:val="0"/>
          <w:i w:val="0"/>
          <w:sz w:val="20"/>
        </w:rPr>
        <w:t>•  R-23 (MODERADO): Certificación y previsión presupuestal multianual antes de convocar; cronograma de desembolsos alineado al calendario de avance.</w:t>
      </w:r>
    </w:p>
    <w:p>
      <w:pPr>
        <w:spacing w:before="0" w:after="60" w:line="276" w:lineRule="auto"/>
        <w:ind w:left="510" w:hanging="255"/>
        <w:jc w:val="both"/>
      </w:pPr>
      <w:r>
        <w:rPr>
          <w:rFonts w:ascii="Arial" w:hAnsi="Arial" w:cs="Arial"/>
          <w:b w:val="0"/>
          <w:i w:val="0"/>
          <w:sz w:val="20"/>
        </w:rPr>
        <w:t>•  R-11 (MODERADO): Factibilidad y presupuesto aprobados por la concesionaria eléctrica y las JASS o EPS antes del inicio; cronograma de cortes programados.</w:t>
      </w:r>
    </w:p>
    <w:p>
      <w:pPr>
        <w:spacing w:before="0" w:after="60" w:line="276" w:lineRule="auto"/>
        <w:ind w:left="510" w:hanging="255"/>
        <w:jc w:val="both"/>
      </w:pPr>
      <w:r>
        <w:rPr>
          <w:rFonts w:ascii="Arial" w:hAnsi="Arial" w:cs="Arial"/>
          <w:b w:val="0"/>
          <w:i w:val="0"/>
          <w:sz w:val="20"/>
        </w:rPr>
        <w:t>•  R-14 (MODERADO): Tramitar ante el Ministerio de Cultura el instrumento que corresponda (Reglamento de Intervenciones Arqueológicas, D.S. N.° 011-2022-MC) antes del inicio, incluidas las áreas auxiliares.</w:t>
      </w:r>
    </w:p>
    <w:p>
      <w:pPr>
        <w:spacing w:before="0" w:after="60" w:line="276" w:lineRule="auto"/>
        <w:ind w:left="510" w:hanging="255"/>
        <w:jc w:val="both"/>
      </w:pPr>
      <w:r>
        <w:rPr>
          <w:rFonts w:ascii="Arial" w:hAnsi="Arial" w:cs="Arial"/>
          <w:b w:val="0"/>
          <w:i w:val="0"/>
          <w:sz w:val="20"/>
        </w:rPr>
        <w:t>•  R-34 (MODERADO): Verificar por puente el estudio hidrológico, hidráulico, de socavación y geotécnico (Manual de Puentes del MTC) antes de convocar.</w:t>
      </w:r>
    </w:p>
    <w:p>
      <w:pPr>
        <w:spacing w:before="0" w:after="60" w:line="276" w:lineRule="auto"/>
        <w:ind w:left="510" w:hanging="255"/>
        <w:jc w:val="both"/>
      </w:pPr>
      <w:r>
        <w:rPr>
          <w:rFonts w:ascii="Arial" w:hAnsi="Arial" w:cs="Arial"/>
          <w:b w:val="0"/>
          <w:i w:val="0"/>
          <w:sz w:val="20"/>
        </w:rPr>
        <w:t>•  R-13 (MODERADO): Relacionamiento comunitario durante todo el plazo, oficina de atención de quejas, contratación de mano de obra local, riego para polvo en zonas pobladas.</w:t>
      </w:r>
    </w:p>
    <w:p>
      <w:pPr>
        <w:pStyle w:val="Heading2"/>
        <w:keepNext/>
        <w:spacing w:before="160" w:after="120"/>
      </w:pPr>
      <w:r>
        <w:rPr>
          <w:rFonts w:ascii="Arial" w:hAnsi="Arial" w:cs="Arial"/>
          <w:b/>
          <w:i w:val="0"/>
          <w:color w:val="1F4E79"/>
          <w:sz w:val="21"/>
        </w:rPr>
        <w:t>9.2 Programación según la temporada de lluvias</w:t>
      </w:r>
    </w:p>
    <w:p>
      <w:pPr>
        <w:spacing w:before="0" w:after="60" w:line="276" w:lineRule="auto"/>
        <w:ind w:left="510" w:hanging="255"/>
        <w:jc w:val="both"/>
      </w:pPr>
      <w:r>
        <w:rPr>
          <w:rFonts w:ascii="Arial" w:hAnsi="Arial" w:cs="Arial"/>
          <w:b w:val="0"/>
          <w:i w:val="0"/>
          <w:sz w:val="20"/>
        </w:rPr>
        <w:t>•  Estiaje (junio a setiembre): cimentaciones y estribos de los 5 puentes, terraplenes en los sectores de arrozal (20+360 a 21+170 y 22+270 a 22+960), base y carpeta asfáltica.</w:t>
      </w:r>
    </w:p>
    <w:p>
      <w:pPr>
        <w:spacing w:before="0" w:after="60" w:line="276" w:lineRule="auto"/>
        <w:ind w:left="510" w:hanging="255"/>
        <w:jc w:val="both"/>
      </w:pPr>
      <w:r>
        <w:rPr>
          <w:rFonts w:ascii="Arial" w:hAnsi="Arial" w:cs="Arial"/>
          <w:b w:val="0"/>
          <w:i w:val="0"/>
          <w:sz w:val="20"/>
        </w:rPr>
        <w:t>•  Transición (mayo, diciembre a febrero): cortes con drenaje de coronación, subbase y base con protección, desvíos de cauce y fabricación de vigas metálicas.</w:t>
      </w:r>
    </w:p>
    <w:p>
      <w:pPr>
        <w:spacing w:before="0" w:after="60" w:line="276" w:lineRule="auto"/>
        <w:ind w:left="510" w:hanging="255"/>
        <w:jc w:val="both"/>
      </w:pPr>
      <w:r>
        <w:rPr>
          <w:rFonts w:ascii="Arial" w:hAnsi="Arial" w:cs="Arial"/>
          <w:b w:val="0"/>
          <w:i w:val="0"/>
          <w:sz w:val="20"/>
        </w:rPr>
        <w:t>•  Lluviosa (marzo, abril, octubre y noviembre): alcantarillas, cunetas, gaviones y muros, demoliciones menores, señalización y trabajos en taller.</w:t>
      </w:r>
    </w:p>
    <w:p>
      <w:pPr>
        <w:pStyle w:val="Heading2"/>
        <w:keepNext/>
        <w:spacing w:before="160" w:after="120"/>
      </w:pPr>
      <w:r>
        <w:rPr>
          <w:rFonts w:ascii="Arial" w:hAnsi="Arial" w:cs="Arial"/>
          <w:b/>
          <w:i w:val="0"/>
          <w:color w:val="1F4E79"/>
          <w:sz w:val="21"/>
        </w:rPr>
        <w:t>9.3 Plan de respuesta por riesgo</w:t>
      </w:r>
    </w:p>
    <w:p>
      <w:pPr>
        <w:keepNext/>
        <w:spacing w:before="80" w:after="60" w:line="276" w:lineRule="auto"/>
        <w:jc w:val="center"/>
      </w:pPr>
      <w:r>
        <w:rPr>
          <w:rFonts w:ascii="Arial" w:hAnsi="Arial" w:cs="Arial"/>
          <w:b/>
          <w:i w:val="0"/>
          <w:sz w:val="18"/>
        </w:rPr>
        <w:t>Tabla N.° 13: Plan de respuesta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Layout w:type="fixed"/>
        <w:tblW w:w="9072" w:type="dxa"/>
      </w:tblPr>
      <w:tblGrid>
        <w:gridCol w:w="623"/>
        <w:gridCol w:w="1077"/>
        <w:gridCol w:w="1020"/>
        <w:gridCol w:w="3118"/>
        <w:gridCol w:w="1417"/>
        <w:gridCol w:w="1814"/>
      </w:tblGrid>
      <w:tr>
        <w:trPr>
          <w:tblHeader w:val="true"/>
        </w:trPr>
        <w:tc>
          <w:tcPr>
            <w:tcW w:type="dxa" w:w="624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4"/>
              </w:rPr>
              <w:t>COD.</w:t>
            </w:r>
          </w:p>
        </w:tc>
        <w:tc>
          <w:tcPr>
            <w:tcW w:type="dxa" w:w="1077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4"/>
              </w:rPr>
              <w:t>NIVEL</w:t>
            </w:r>
          </w:p>
        </w:tc>
        <w:tc>
          <w:tcPr>
            <w:tcW w:type="dxa" w:w="1020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4"/>
              </w:rPr>
              <w:t>ESTRATEGIA</w:t>
            </w:r>
          </w:p>
        </w:tc>
        <w:tc>
          <w:tcPr>
            <w:tcW w:type="dxa" w:w="3118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4"/>
              </w:rPr>
              <w:t>ACCIONES</w:t>
            </w:r>
          </w:p>
        </w:tc>
        <w:tc>
          <w:tcPr>
            <w:tcW w:type="dxa" w:w="1417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4"/>
              </w:rPr>
              <w:t>RESPONSABLE</w:t>
            </w:r>
          </w:p>
        </w:tc>
        <w:tc>
          <w:tcPr>
            <w:tcW w:type="dxa" w:w="1814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4"/>
              </w:rPr>
              <w:t>ALERTA TEMPRANA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R-01</w:t>
            </w:r>
          </w:p>
        </w:tc>
        <w:tc>
          <w:tcPr>
            <w:tcW w:type="dxa" w:w="1077"/>
            <w:shd w:val="clear" w:color="auto" w:fill="FF7C8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ALTO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Mitigar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Cronograma valorizado con calendario climático: terraplenes, bases y carpeta en mayo-setiembre; drenaje provisional y bombeo; protección de capas terminadas; frentes alternos (alcantarillas, cunetas) en temporada de lluvias.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Residente de obra / Supervisor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Pronóstico y avisos meteorológicos del SENAMHI; lluvia &gt; 30 mm/día; dos días seguidos sin trabajo en un frente.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R-02</w:t>
            </w:r>
          </w:p>
        </w:tc>
        <w:tc>
          <w:tcPr>
            <w:tcW w:type="dxa" w:w="1077"/>
            <w:shd w:val="clear" w:color="auto" w:fill="FFD966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MODERADO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Transferir / Mitigar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Exigir póliza Todo Riesgo Construcción (CAR) con cobertura de eventos de la naturaleza; plan de contingencias por lluvias; registro en el cuaderno de obra y comunicación inmediata para la ampliación de plazo.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Entidad (DRTC) / Supervisor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Comunicado oficial del ENFEN; nivel de agua en las quebradas sobre la marca de alerta.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R-03</w:t>
            </w:r>
          </w:p>
        </w:tc>
        <w:tc>
          <w:tcPr>
            <w:tcW w:type="dxa" w:w="1077"/>
            <w:shd w:val="clear" w:color="auto" w:fill="FFD966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MODERADO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Mitigar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Programar cimentaciones y estribos en estiaje (junio-setiembre); ataguías y bombeo; desvío del cauce antes de excavar; monitoreo diario del nivel de agua.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Residente / Especialista en puentes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Subida del nivel de la quebrada &gt; 0.50 m en 24 h; lluvias en la cuenca alta.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R-04</w:t>
            </w:r>
          </w:p>
        </w:tc>
        <w:tc>
          <w:tcPr>
            <w:tcW w:type="dxa" w:w="1077"/>
            <w:shd w:val="clear" w:color="auto" w:fill="FFD966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MODERADO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Mitigar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Antes del inicio: verificar la estabilidad de cortes (factor de seguridad estático y seudoestático) y el diseño de muros en esos sectores; durante la obra: cortes por banquetas de arriba hacia abajo, drenaje de coronación, hitos de control de desplazamiento.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Entidad (diseño) / Contratista (método de corte)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Grietas de tracción en la corona, surgencias de agua, desplazamiento de hitos &gt; 2 cm.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R-05</w:t>
            </w:r>
          </w:p>
        </w:tc>
        <w:tc>
          <w:tcPr>
            <w:tcW w:type="dxa" w:w="1077"/>
            <w:shd w:val="clear" w:color="auto" w:fill="FFD966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MODERADO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Mitigar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Ejecutar primero los gaviones y la protección de pie en esos sectores; limpieza de alcantarillas y salidas antes del movimiento de tierras; protección temporal con geobolsas.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Residente / Especialista en geotecnia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Pérdida de material en el borde después de cada lluvia; socavación &gt; 0.30 m al pie.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R-06</w:t>
            </w:r>
          </w:p>
        </w:tc>
        <w:tc>
          <w:tcPr>
            <w:tcW w:type="dxa" w:w="1077"/>
            <w:shd w:val="clear" w:color="auto" w:fill="FFD966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MODERADO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Mitigar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Acordar con la junta y comisiones de usuarios de riego los turnos y cortes de agua en los frentes; subdrenaje y geotextil; construir primero las alcantarillas de alivio proyectadas.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Entidad (coordinación) / Contratista (ejecución)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Lámina de agua en los arrozales colindantes; humedad de la subrasante sobre la óptima + 2 %.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R-07</w:t>
            </w:r>
          </w:p>
        </w:tc>
        <w:tc>
          <w:tcPr>
            <w:tcW w:type="dxa" w:w="1077"/>
            <w:shd w:val="clear" w:color="auto" w:fill="FFD966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MODERADO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Mitigar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Completar calicatas y ensayos CBR cada 500 m antes de la convocatoria; definir criterios de reemplazo en el expediente.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Entidad (expediente) / Supervisor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CBR de campo menor al de diseño en dos sectores consecutivos.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R-08</w:t>
            </w:r>
          </w:p>
        </w:tc>
        <w:tc>
          <w:tcPr>
            <w:tcW w:type="dxa" w:w="1077"/>
            <w:shd w:val="clear" w:color="auto" w:fill="FF7C8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ALTO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Evitar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Antes de convocar: ensayos de calidad y cálculo de potencia, autorización de la municipalidad y de la ANA para extracción en cauce, y una cantera alternativa con su distancia.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Entidad (DRTC)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Potencia útil menor al 120 % del volumen requerido; observación de la autoridad.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R-09</w:t>
            </w:r>
          </w:p>
        </w:tc>
        <w:tc>
          <w:tcPr>
            <w:tcW w:type="dxa" w:w="1077"/>
            <w:shd w:val="clear" w:color="auto" w:fill="FFD966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MODERADO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Evitar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Tramitar las autorizaciones antes del inicio de obra y entregarlas al contratista con el expediente.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Entidad (DRTC)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Autorización no emitida 30 días antes del inicio.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R-10</w:t>
            </w:r>
          </w:p>
        </w:tc>
        <w:tc>
          <w:tcPr>
            <w:tcW w:type="dxa" w:w="1077"/>
            <w:shd w:val="clear" w:color="auto" w:fill="FFD966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MODERADO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Evitar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Catastro de afectaciones por progresiva; actas de libre disponibilidad firmadas; evaluar el PACRI y el saneamiento físico-legal (Ley N.° 30025) antes de la convocatoria.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Entidad (DRTC) / Municipalidades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Predio sin acta a 60 días de su frente de trabajo.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R-11</w:t>
            </w:r>
          </w:p>
        </w:tc>
        <w:tc>
          <w:tcPr>
            <w:tcW w:type="dxa" w:w="1077"/>
            <w:shd w:val="clear" w:color="auto" w:fill="FFD966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MODERADO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Mitigar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Factibilidad y presupuesto aprobados por la concesionaria eléctrica y las JASS o EPS antes del inicio; cronograma de cortes programados.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Entidad / Contratista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Concesionaria sin respuesta a 30 días.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R-12</w:t>
            </w:r>
          </w:p>
        </w:tc>
        <w:tc>
          <w:tcPr>
            <w:tcW w:type="dxa" w:w="1077"/>
            <w:shd w:val="clear" w:color="auto" w:fill="FFD966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MODERADO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Mitigar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Plan de trabajo con la comisión de regantes; ejecutar cada cruce fuera de la campaña de riego o con derivación temporal.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Entidad (relacionamiento) / Contratista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Queja formal de la comisión de regantes; caudal cortado &gt; 24 h.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R-13</w:t>
            </w:r>
          </w:p>
        </w:tc>
        <w:tc>
          <w:tcPr>
            <w:tcW w:type="dxa" w:w="1077"/>
            <w:shd w:val="clear" w:color="auto" w:fill="FFD966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MODERADO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Mitigar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Relacionamiento comunitario durante todo el plazo, oficina de atención de quejas, contratación de mano de obra local, riego para polvo en zonas pobladas.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Entidad / Contratista (especialista social)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Actas de reclamo sin respuesta; convocatoria a paro.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R-14</w:t>
            </w:r>
          </w:p>
        </w:tc>
        <w:tc>
          <w:tcPr>
            <w:tcW w:type="dxa" w:w="1077"/>
            <w:shd w:val="clear" w:color="auto" w:fill="FFD966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MODERADO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Evitar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Tramitar ante el Ministerio de Cultura el instrumento que corresponda (Reglamento de Intervenciones Arqueológicas, D.S. N.° 011-2022-MC) antes del inicio, incluidas las áreas auxiliares.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Entidad (DRTC)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Hallazgo fortuito registrado por el arqueólogo.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R-15</w:t>
            </w:r>
          </w:p>
        </w:tc>
        <w:tc>
          <w:tcPr>
            <w:tcW w:type="dxa" w:w="1077"/>
            <w:shd w:val="clear" w:color="auto" w:fill="FF7C8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ALTO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Evitar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Obtener la certificación ambiental de la autoridad competente del SEIA (Ley N.° 27446) antes de convocar; compatibilizar el PMA con el presupuesto.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Entidad (DRTC)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Observaciones de la autoridad sin levantar.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R-16</w:t>
            </w:r>
          </w:p>
        </w:tc>
        <w:tc>
          <w:tcPr>
            <w:tcW w:type="dxa" w:w="1077"/>
            <w:shd w:val="clear" w:color="auto" w:fill="FFD966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MODERADO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Evitar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Revisión integral y compatibilización del expediente antes de convocar; levantar las observaciones de la sección 7; en solo construcción, el contratista revisa el expediente e informa los riesgos al supervisor.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Entidad (DRTC) / Proyectista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Consulta de obra que revela incompatibilidad.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R-17</w:t>
            </w:r>
          </w:p>
        </w:tc>
        <w:tc>
          <w:tcPr>
            <w:tcW w:type="dxa" w:w="1077"/>
            <w:shd w:val="clear" w:color="auto" w:fill="FFD966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MODERADO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Aceptar / Mitigar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Reajuste por fórmulas polinómicas según el reglamento; previsión presupuestal multianual; abastecimiento anticipado de asfalto.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Entidad (DRTC) / Oficina de Presupuesto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Índices unificados INEI con alza &gt; 5 % en el trimestre.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R-18</w:t>
            </w:r>
          </w:p>
        </w:tc>
        <w:tc>
          <w:tcPr>
            <w:tcW w:type="dxa" w:w="1077"/>
            <w:shd w:val="clear" w:color="auto" w:fill="FFD966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MODERADO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Mitigar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Plan de compras en el primer mes; fabricación de vigas con inspección en taller; stock mínimo de asfalto y TMC.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Contratista (logística)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Orden de compra no colocada en la fecha del plan.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R-19</w:t>
            </w:r>
          </w:p>
        </w:tc>
        <w:tc>
          <w:tcPr>
            <w:tcW w:type="dxa" w:w="1077"/>
            <w:shd w:val="clear" w:color="auto" w:fill="FFD966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MODERADO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Mitigar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Equipo de respaldo, mantenimiento preventivo y repuestos críticos en obra.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Contratista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Disponibilidad mecánica &lt; 85 %.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R-20</w:t>
            </w:r>
          </w:p>
        </w:tc>
        <w:tc>
          <w:tcPr>
            <w:tcW w:type="dxa" w:w="1077"/>
            <w:shd w:val="clear" w:color="auto" w:fill="A9D08E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BAJO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Mitigar / Transferir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Plan de manejo de tránsito aprobado, controladores, señalización transitoria, horarios; seguro de responsabilidad civil y SCTR.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Contratista (prevencionista)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Incidente o casi accidente registrado.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R-21</w:t>
            </w:r>
          </w:p>
        </w:tc>
        <w:tc>
          <w:tcPr>
            <w:tcW w:type="dxa" w:w="1077"/>
            <w:shd w:val="clear" w:color="auto" w:fill="A9D08E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BAJO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Mitigar / Transferir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Plan de seguridad y salud en el trabajo (Ley N.° 29783 y D.S. N.° 011-2019-TR), procedimientos de izaje, permisos de trabajo de alto riesgo, SCTR.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Contratista (prevencionista)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Acto o condición subestándar repetida.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R-22</w:t>
            </w:r>
          </w:p>
        </w:tc>
        <w:tc>
          <w:tcPr>
            <w:tcW w:type="dxa" w:w="1077"/>
            <w:shd w:val="clear" w:color="auto" w:fill="A9D08E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BAJO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Aceptar / Transferir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Póliza CAR; puentes diseñados con el Manual de Puentes del MTC; plan de respuesta ante emergencias.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Entidad / Contratista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Reporte del IGP de sismo sentido en la zona.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R-23</w:t>
            </w:r>
          </w:p>
        </w:tc>
        <w:tc>
          <w:tcPr>
            <w:tcW w:type="dxa" w:w="1077"/>
            <w:shd w:val="clear" w:color="auto" w:fill="FFD966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MODERADO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Mitigar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Certificación y previsión presupuestal multianual antes de convocar; cronograma de desembolsos alineado al calendario de avance.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Entidad (Gerencia de Presupuesto)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Valorización impaga a 30 días.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R-24</w:t>
            </w:r>
          </w:p>
        </w:tc>
        <w:tc>
          <w:tcPr>
            <w:tcW w:type="dxa" w:w="1077"/>
            <w:shd w:val="clear" w:color="auto" w:fill="FFD966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MODERADO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Mitigar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Comité de gestión de riesgos (obra mayor a S/ 50 M); plazos internos de respuesta; supervisión contratada antes del inicio; junta de prevención y resolución de disputas cuando corresponda.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Entidad (DRTC)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Consulta sin respuesta en el plazo del reglamento.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R-25</w:t>
            </w:r>
          </w:p>
        </w:tc>
        <w:tc>
          <w:tcPr>
            <w:tcW w:type="dxa" w:w="1077"/>
            <w:shd w:val="clear" w:color="auto" w:fill="FF7C8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ALTO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Evitar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Identificar DME con capacidad suficiente (unas 6 a 7.5 ha con 4 a 5 m de altura), con autorización del propietario y ubicación aprobada en el estudio ambiental.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Entidad (expediente) / Especialista ambiental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DME al 70 % de su capacidad.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R-26</w:t>
            </w:r>
          </w:p>
        </w:tc>
        <w:tc>
          <w:tcPr>
            <w:tcW w:type="dxa" w:w="1077"/>
            <w:shd w:val="clear" w:color="auto" w:fill="A9D08E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BAJO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Mitigar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Barreras de sedimentos, kits antiderrame, impermeabilización de la zona de combustibles, monitoreo de agua por puente.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Contratista (especialista ambiental)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Turbidez aguas abajo mayor que aguas arriba.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R-27</w:t>
            </w:r>
          </w:p>
        </w:tc>
        <w:tc>
          <w:tcPr>
            <w:tcW w:type="dxa" w:w="1077"/>
            <w:shd w:val="clear" w:color="auto" w:fill="FFD966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MODERADO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Mitigar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Desvíos con badén o puente modular provisional en los puentes de 40 m; demoler el puente existente solo con el desvío habilitado.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Contratista / Supervisor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Desvío intransitable después de una lluvia.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R-28</w:t>
            </w:r>
          </w:p>
        </w:tc>
        <w:tc>
          <w:tcPr>
            <w:tcW w:type="dxa" w:w="1077"/>
            <w:shd w:val="clear" w:color="auto" w:fill="A9D08E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BAJO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Mitigar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Plan de calidad, tramo de prueba, laboratorio en obra, no colocar mezcla con lluvia ni sobre base húmeda.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Contratista / Supervisor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Ensayo fuera de especificación.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R-29</w:t>
            </w:r>
          </w:p>
        </w:tc>
        <w:tc>
          <w:tcPr>
            <w:tcW w:type="dxa" w:w="1077"/>
            <w:shd w:val="clear" w:color="auto" w:fill="FFD966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MODERADO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Mitigar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Plan de salud, control de vectores en campamento, repelentes y coordinación con el establecimiento de salud de Tingo de Ponasa.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Contratista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Casos febriles en el personal.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R-30</w:t>
            </w:r>
          </w:p>
        </w:tc>
        <w:tc>
          <w:tcPr>
            <w:tcW w:type="dxa" w:w="1077"/>
            <w:shd w:val="clear" w:color="auto" w:fill="A9D08E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BAJO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Mitigar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Registro de trabajadores, contratación local transparente, coordinación con la Policía Nacional y la autoridad de trabajo.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Contratista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Presencia de grupos ajenos en el frente.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R-31</w:t>
            </w:r>
          </w:p>
        </w:tc>
        <w:tc>
          <w:tcPr>
            <w:tcW w:type="dxa" w:w="1077"/>
            <w:shd w:val="clear" w:color="auto" w:fill="A9D08E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BAJO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Mitigar / Transferir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Vigilancia, inventario semanal, seguro de equipos.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Contratista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Faltante en inventario.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R-32</w:t>
            </w:r>
          </w:p>
        </w:tc>
        <w:tc>
          <w:tcPr>
            <w:tcW w:type="dxa" w:w="1077"/>
            <w:shd w:val="clear" w:color="auto" w:fill="A9D08E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BAJO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Aceptar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Coordinación con las municipalidades y los agricultores; extintores en frentes.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Contratista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Focos de quema cerca de la vía.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R-33</w:t>
            </w:r>
          </w:p>
        </w:tc>
        <w:tc>
          <w:tcPr>
            <w:tcW w:type="dxa" w:w="1077"/>
            <w:shd w:val="clear" w:color="auto" w:fill="A9D08E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BAJO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Evitar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Evaluación de la capacidad de carga antes del inicio; prohibir el paso de equipo con cargas superiores; transportar el equipo pesado por desvío o vado.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Contratista / Supervisor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Fisuras o deflexión visible en el tablero.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R-34</w:t>
            </w:r>
          </w:p>
        </w:tc>
        <w:tc>
          <w:tcPr>
            <w:tcW w:type="dxa" w:w="1077"/>
            <w:shd w:val="clear" w:color="auto" w:fill="FFD966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MODERADO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Evitar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Verificar por puente el estudio hidrológico, hidráulico, de socavación y geotécnico (Manual de Puentes del MTC) antes de convocar.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Entidad / Proyectista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4"/>
              </w:rPr>
              <w:t>Perforación con estrato de apoyo más profundo que el de diseño.</w:t>
            </w:r>
          </w:p>
        </w:tc>
      </w:tr>
    </w:tbl>
    <w:p>
      <w:pPr>
        <w:spacing w:before="0" w:after="80" w:line="276" w:lineRule="auto"/>
        <w:jc w:val="both"/>
      </w:pPr>
    </w:p>
    <w:p>
      <w:pPr>
        <w:pStyle w:val="Heading1"/>
        <w:keepNext/>
        <w:spacing w:before="240" w:after="120"/>
      </w:pPr>
      <w:r>
        <w:rPr>
          <w:rFonts w:ascii="Arial" w:hAnsi="Arial" w:cs="Arial"/>
          <w:b/>
          <w:i w:val="0"/>
          <w:color w:val="1F4E79"/>
          <w:sz w:val="24"/>
        </w:rPr>
        <w:t>10. ASIGNACIÓN DE RIESGOS</w:t>
      </w:r>
    </w:p>
    <w:p>
      <w:pPr>
        <w:spacing w:before="0" w:after="120" w:line="276" w:lineRule="auto"/>
        <w:jc w:val="both"/>
      </w:pPr>
      <w:r>
        <w:rPr>
          <w:rFonts w:ascii="Arial" w:hAnsi="Arial" w:cs="Arial"/>
          <w:b w:val="0"/>
          <w:i w:val="0"/>
          <w:sz w:val="20"/>
        </w:rPr>
        <w:t>Se asigna cada riesgo a la parte que controla su causa y puede gestionarlo y mitigarlo a menor costo (artículo 156 del reglamento): 15 a la Entidad, 15 al contratista y 4 compartidos.</w:t>
      </w:r>
    </w:p>
    <w:p>
      <w:pPr>
        <w:spacing w:before="0" w:after="120" w:line="276" w:lineRule="auto"/>
        <w:jc w:val="both"/>
      </w:pPr>
      <w:r>
        <w:rPr>
          <w:rFonts w:ascii="Arial" w:hAnsi="Arial" w:cs="Arial"/>
          <w:b/>
          <w:i w:val="0"/>
          <w:sz w:val="20"/>
        </w:rPr>
        <w:t xml:space="preserve">Entidad: </w:t>
      </w:r>
      <w:r>
        <w:rPr>
          <w:rFonts w:ascii="Arial" w:hAnsi="Arial" w:cs="Arial"/>
          <w:b w:val="0"/>
          <w:i w:val="0"/>
          <w:sz w:val="20"/>
        </w:rPr>
        <w:t>decisiones, permisos, predios, interferencias, financiamiento, canteras y DME definidos en el expediente, y el contenido del expediente técnico; si ocurren, proceden las modificaciones contractuales o la ampliación de plazo que correspondan.</w:t>
      </w:r>
    </w:p>
    <w:p>
      <w:pPr>
        <w:spacing w:before="0" w:after="120" w:line="276" w:lineRule="auto"/>
        <w:jc w:val="both"/>
      </w:pPr>
      <w:r>
        <w:rPr>
          <w:rFonts w:ascii="Arial" w:hAnsi="Arial" w:cs="Arial"/>
          <w:b/>
          <w:i w:val="0"/>
          <w:sz w:val="20"/>
        </w:rPr>
        <w:t xml:space="preserve">Contratista: </w:t>
      </w:r>
      <w:r>
        <w:rPr>
          <w:rFonts w:ascii="Arial" w:hAnsi="Arial" w:cs="Arial"/>
          <w:b w:val="0"/>
          <w:i w:val="0"/>
          <w:sz w:val="20"/>
        </w:rPr>
        <w:t>planificación, métodos constructivos, equipos, suministros, calidad, seguridad, tránsito durante la obra y lluvias estacionales previsibles; se cubren con sus gastos generales, su programación y sus pólizas (CAR, responsabilidad civil y SCTR).</w:t>
      </w:r>
    </w:p>
    <w:p>
      <w:pPr>
        <w:spacing w:before="0" w:after="120" w:line="276" w:lineRule="auto"/>
        <w:jc w:val="both"/>
      </w:pPr>
      <w:r>
        <w:rPr>
          <w:rFonts w:ascii="Arial" w:hAnsi="Arial" w:cs="Arial"/>
          <w:b/>
          <w:i w:val="0"/>
          <w:sz w:val="20"/>
        </w:rPr>
        <w:t xml:space="preserve">Compartido: </w:t>
      </w:r>
      <w:r>
        <w:rPr>
          <w:rFonts w:ascii="Arial" w:hAnsi="Arial" w:cs="Arial"/>
          <w:b w:val="0"/>
          <w:i w:val="0"/>
          <w:sz w:val="20"/>
        </w:rPr>
        <w:t>causas mixtas (taludes, saturación por riego, conflictos y canales): la Entidad asume la parte de diseño y gestión, y el contratista la de ejecución, según la causa que se compruebe en obra.</w:t>
      </w:r>
    </w:p>
    <w:p>
      <w:pPr>
        <w:keepNext/>
        <w:spacing w:before="80" w:after="60" w:line="276" w:lineRule="auto"/>
        <w:jc w:val="center"/>
      </w:pPr>
      <w:r>
        <w:rPr>
          <w:rFonts w:ascii="Arial" w:hAnsi="Arial" w:cs="Arial"/>
          <w:b/>
          <w:i w:val="0"/>
          <w:sz w:val="18"/>
        </w:rPr>
        <w:t>Tabla N.° 14: Asignación de riesgos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Layout w:type="fixed"/>
        <w:tblW w:w="9072" w:type="dxa"/>
      </w:tblPr>
      <w:tblGrid>
        <w:gridCol w:w="793"/>
        <w:gridCol w:w="6577"/>
        <w:gridCol w:w="1701"/>
      </w:tblGrid>
      <w:tr>
        <w:trPr>
          <w:tblHeader w:val="true"/>
        </w:trPr>
        <w:tc>
          <w:tcPr>
            <w:tcW w:type="dxa" w:w="794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5"/>
              </w:rPr>
              <w:t>COD.</w:t>
            </w:r>
          </w:p>
        </w:tc>
        <w:tc>
          <w:tcPr>
            <w:tcW w:type="dxa" w:w="6576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5"/>
              </w:rPr>
              <w:t>RIESGO</w:t>
            </w:r>
          </w:p>
        </w:tc>
        <w:tc>
          <w:tcPr>
            <w:tcW w:type="dxa" w:w="1701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5"/>
              </w:rPr>
              <w:t>ASIGNADO A</w:t>
            </w:r>
          </w:p>
        </w:tc>
      </w:tr>
      <w:tr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R-01</w:t>
            </w:r>
          </w:p>
        </w:tc>
        <w:tc>
          <w:tcPr>
            <w:tcW w:type="dxa" w:w="6576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Lluvias estacionales intensas (octubre a abril) que paralizan el movimiento de tierras, la pavimentación y los vaciados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Contratista</w:t>
            </w:r>
          </w:p>
        </w:tc>
      </w:tr>
      <w:tr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R-02</w:t>
            </w:r>
          </w:p>
        </w:tc>
        <w:tc>
          <w:tcPr>
            <w:tcW w:type="dxa" w:w="6576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Lluvias extraordinarias o anomalías climáticas (El Niño / La Niña) con desborde de quebradas y daños a la obra ejecutada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Entidad</w:t>
            </w:r>
          </w:p>
        </w:tc>
      </w:tr>
      <w:tr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R-03</w:t>
            </w:r>
          </w:p>
        </w:tc>
        <w:tc>
          <w:tcPr>
            <w:tcW w:type="dxa" w:w="6576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Crecidas de quebradas durante la construcción de estribos de los 5 puentes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Contratista</w:t>
            </w:r>
          </w:p>
        </w:tc>
      </w:tr>
      <w:tr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R-04</w:t>
            </w:r>
          </w:p>
        </w:tc>
        <w:tc>
          <w:tcPr>
            <w:tcW w:type="dxa" w:w="6576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Inestabilidad de taludes y deslizamientos durante los cortes en ladera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Compartido</w:t>
            </w:r>
          </w:p>
        </w:tc>
      </w:tr>
      <w:tr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R-05</w:t>
            </w:r>
          </w:p>
        </w:tc>
        <w:tc>
          <w:tcPr>
            <w:tcW w:type="dxa" w:w="6576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Erosión y socavación de la plataforma y de los terraplenes en construcción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Contratista</w:t>
            </w:r>
          </w:p>
        </w:tc>
      </w:tr>
      <w:tr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R-06</w:t>
            </w:r>
          </w:p>
        </w:tc>
        <w:tc>
          <w:tcPr>
            <w:tcW w:type="dxa" w:w="6576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Saturación de terraplenes por inundación de arrozales, canales de riego y empozamientos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Compartido</w:t>
            </w:r>
          </w:p>
        </w:tc>
      </w:tr>
      <w:tr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R-07</w:t>
            </w:r>
          </w:p>
        </w:tc>
        <w:tc>
          <w:tcPr>
            <w:tcW w:type="dxa" w:w="6576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Subrasante de menor capacidad de soporte que la prevista en el expediente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Entidad</w:t>
            </w:r>
          </w:p>
        </w:tc>
      </w:tr>
      <w:tr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R-08</w:t>
            </w:r>
          </w:p>
        </w:tc>
        <w:tc>
          <w:tcPr>
            <w:tcW w:type="dxa" w:w="6576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Cantera insuficiente, sin calidad o sin autorización, con mayor distancia de transporte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Entidad</w:t>
            </w:r>
          </w:p>
        </w:tc>
      </w:tr>
      <w:tr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R-09</w:t>
            </w:r>
          </w:p>
        </w:tc>
        <w:tc>
          <w:tcPr>
            <w:tcW w:type="dxa" w:w="6576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Demora en autorizaciones de uso de agua y de extracción de material de cauce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Entidad</w:t>
            </w:r>
          </w:p>
        </w:tc>
      </w:tr>
      <w:tr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R-10</w:t>
            </w:r>
          </w:p>
        </w:tc>
        <w:tc>
          <w:tcPr>
            <w:tcW w:type="dxa" w:w="6576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Falta de libre disponibilidad del terreno para el ensanche de la plataforma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Entidad</w:t>
            </w:r>
          </w:p>
        </w:tc>
      </w:tr>
      <w:tr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R-11</w:t>
            </w:r>
          </w:p>
        </w:tc>
        <w:tc>
          <w:tcPr>
            <w:tcW w:type="dxa" w:w="6576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Interferencias con redes eléctricas, de agua potable y de telecomunicaciones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Entidad</w:t>
            </w:r>
          </w:p>
        </w:tc>
      </w:tr>
      <w:tr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R-12</w:t>
            </w:r>
          </w:p>
        </w:tc>
        <w:tc>
          <w:tcPr>
            <w:tcW w:type="dxa" w:w="6576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Afectación de canales y cruces de riego con reclamos de los agricultores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Compartido</w:t>
            </w:r>
          </w:p>
        </w:tc>
      </w:tr>
      <w:tr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R-13</w:t>
            </w:r>
          </w:p>
        </w:tc>
        <w:tc>
          <w:tcPr>
            <w:tcW w:type="dxa" w:w="6576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Conflictos sociales y paralizaciones de la población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Compartido</w:t>
            </w:r>
          </w:p>
        </w:tc>
      </w:tr>
      <w:tr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R-14</w:t>
            </w:r>
          </w:p>
        </w:tc>
        <w:tc>
          <w:tcPr>
            <w:tcW w:type="dxa" w:w="6576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Hallazgos arqueológicos o falta del instrumento de intervención arqueológica aprobado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Entidad</w:t>
            </w:r>
          </w:p>
        </w:tc>
      </w:tr>
      <w:tr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R-15</w:t>
            </w:r>
          </w:p>
        </w:tc>
        <w:tc>
          <w:tcPr>
            <w:tcW w:type="dxa" w:w="6576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Demora o condicionamiento de la certificación ambiental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Entidad</w:t>
            </w:r>
          </w:p>
        </w:tc>
      </w:tr>
      <w:tr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R-16</w:t>
            </w:r>
          </w:p>
        </w:tc>
        <w:tc>
          <w:tcPr>
            <w:tcW w:type="dxa" w:w="6576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Deficiencias e incompatibilidades del expediente técnico (metrados, longitudes, diseños)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Entidad</w:t>
            </w:r>
          </w:p>
        </w:tc>
      </w:tr>
      <w:tr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R-17</w:t>
            </w:r>
          </w:p>
        </w:tc>
        <w:tc>
          <w:tcPr>
            <w:tcW w:type="dxa" w:w="6576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Variación de precios de insumos críticos (asfalto, combustible, acero, TMC)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Entidad</w:t>
            </w:r>
          </w:p>
        </w:tc>
      </w:tr>
      <w:tr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R-18</w:t>
            </w:r>
          </w:p>
        </w:tc>
        <w:tc>
          <w:tcPr>
            <w:tcW w:type="dxa" w:w="6576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Retraso en el suministro de materiales de importación o fabricación especial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Contratista</w:t>
            </w:r>
          </w:p>
        </w:tc>
      </w:tr>
      <w:tr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R-19</w:t>
            </w:r>
          </w:p>
        </w:tc>
        <w:tc>
          <w:tcPr>
            <w:tcW w:type="dxa" w:w="6576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Falla o insuficiencia de equipos (planta de asfalto, chancadora, compactación)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Contratista</w:t>
            </w:r>
          </w:p>
        </w:tc>
      </w:tr>
      <w:tr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R-20</w:t>
            </w:r>
          </w:p>
        </w:tc>
        <w:tc>
          <w:tcPr>
            <w:tcW w:type="dxa" w:w="6576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Accidentes de tránsito y atropellos en la vía en servicio durante la obra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Contratista</w:t>
            </w:r>
          </w:p>
        </w:tc>
      </w:tr>
      <w:tr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R-21</w:t>
            </w:r>
          </w:p>
        </w:tc>
        <w:tc>
          <w:tcPr>
            <w:tcW w:type="dxa" w:w="6576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Accidentes de trabajo graves (izaje de vigas, trabajo en agua, excavaciones, maquinaria)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Contratista</w:t>
            </w:r>
          </w:p>
        </w:tc>
      </w:tr>
      <w:tr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R-22</w:t>
            </w:r>
          </w:p>
        </w:tc>
        <w:tc>
          <w:tcPr>
            <w:tcW w:type="dxa" w:w="6576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Sismo de intensidad moderada a alta durante la obra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Entidad</w:t>
            </w:r>
          </w:p>
        </w:tc>
      </w:tr>
      <w:tr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R-23</w:t>
            </w:r>
          </w:p>
        </w:tc>
        <w:tc>
          <w:tcPr>
            <w:tcW w:type="dxa" w:w="6576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Retraso en el financiamiento o en los pagos de valorizaciones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Entidad</w:t>
            </w:r>
          </w:p>
        </w:tc>
      </w:tr>
      <w:tr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R-24</w:t>
            </w:r>
          </w:p>
        </w:tc>
        <w:tc>
          <w:tcPr>
            <w:tcW w:type="dxa" w:w="6576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Demoras en la absolución de consultas, aprobación de prestaciones adicionales y decisiones de la Entidad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Entidad</w:t>
            </w:r>
          </w:p>
        </w:tc>
      </w:tr>
      <w:tr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R-25</w:t>
            </w:r>
          </w:p>
        </w:tc>
        <w:tc>
          <w:tcPr>
            <w:tcW w:type="dxa" w:w="6576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Áreas de depósito de material excedente (DME) insuficientes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Entidad</w:t>
            </w:r>
          </w:p>
        </w:tc>
      </w:tr>
      <w:tr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R-26</w:t>
            </w:r>
          </w:p>
        </w:tc>
        <w:tc>
          <w:tcPr>
            <w:tcW w:type="dxa" w:w="6576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Contaminación de quebradas y suelos (sedimentos, derrames de asfalto y combustible)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Contratista</w:t>
            </w:r>
          </w:p>
        </w:tc>
      </w:tr>
      <w:tr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R-27</w:t>
            </w:r>
          </w:p>
        </w:tc>
        <w:tc>
          <w:tcPr>
            <w:tcW w:type="dxa" w:w="6576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Interrupción prolongada del tránsito y del acceso a las localidades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Contratista</w:t>
            </w:r>
          </w:p>
        </w:tc>
      </w:tr>
      <w:tr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R-28</w:t>
            </w:r>
          </w:p>
        </w:tc>
        <w:tc>
          <w:tcPr>
            <w:tcW w:type="dxa" w:w="6576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Calidad deficiente de la carpeta asfáltica o del concreto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Contratista</w:t>
            </w:r>
          </w:p>
        </w:tc>
      </w:tr>
      <w:tr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R-29</w:t>
            </w:r>
          </w:p>
        </w:tc>
        <w:tc>
          <w:tcPr>
            <w:tcW w:type="dxa" w:w="6576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Enfermedades transmitidas por vectores (dengue) y emergencias sanitarias en el personal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Contratista</w:t>
            </w:r>
          </w:p>
        </w:tc>
      </w:tr>
      <w:tr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R-30</w:t>
            </w:r>
          </w:p>
        </w:tc>
        <w:tc>
          <w:tcPr>
            <w:tcW w:type="dxa" w:w="6576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Conflictos laborales y presión de gremios de construcción civil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Contratista</w:t>
            </w:r>
          </w:p>
        </w:tc>
      </w:tr>
      <w:tr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R-31</w:t>
            </w:r>
          </w:p>
        </w:tc>
        <w:tc>
          <w:tcPr>
            <w:tcW w:type="dxa" w:w="6576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Robo y vandalismo de materiales, señales y equipos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Contratista</w:t>
            </w:r>
          </w:p>
        </w:tc>
      </w:tr>
      <w:tr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R-32</w:t>
            </w:r>
          </w:p>
        </w:tc>
        <w:tc>
          <w:tcPr>
            <w:tcW w:type="dxa" w:w="6576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Incendios y quemas agrícolas en época seca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Contratista</w:t>
            </w:r>
          </w:p>
        </w:tc>
      </w:tr>
      <w:tr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R-33</w:t>
            </w:r>
          </w:p>
        </w:tc>
        <w:tc>
          <w:tcPr>
            <w:tcW w:type="dxa" w:w="6576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Falla de los puentes existentes por el paso de equipo pesado antes de su reemplazo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Contratista</w:t>
            </w:r>
          </w:p>
        </w:tc>
      </w:tr>
      <w:tr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R-34</w:t>
            </w:r>
          </w:p>
        </w:tc>
        <w:tc>
          <w:tcPr>
            <w:tcW w:type="dxa" w:w="6576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Cambio de diseño de puentes por condiciones de cauce, socavación o cimentación distintas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5"/>
              </w:rPr>
              <w:t>Entidad</w:t>
            </w:r>
          </w:p>
        </w:tc>
      </w:tr>
    </w:tbl>
    <w:p>
      <w:pPr>
        <w:spacing w:before="0" w:after="80" w:line="276" w:lineRule="auto"/>
        <w:jc w:val="both"/>
      </w:pPr>
    </w:p>
    <w:p>
      <w:pPr>
        <w:pStyle w:val="Heading1"/>
        <w:keepNext/>
        <w:spacing w:before="240" w:after="120"/>
      </w:pPr>
      <w:r>
        <w:rPr>
          <w:rFonts w:ascii="Arial" w:hAnsi="Arial" w:cs="Arial"/>
          <w:b/>
          <w:i w:val="0"/>
          <w:color w:val="1F4E79"/>
          <w:sz w:val="24"/>
        </w:rPr>
        <w:t>11. OPORTUNIDADES</w:t>
      </w:r>
    </w:p>
    <w:p>
      <w:pPr>
        <w:keepNext/>
        <w:spacing w:before="80" w:after="60" w:line="276" w:lineRule="auto"/>
        <w:jc w:val="center"/>
      </w:pPr>
      <w:r>
        <w:rPr>
          <w:rFonts w:ascii="Arial" w:hAnsi="Arial" w:cs="Arial"/>
          <w:b/>
          <w:i w:val="0"/>
          <w:sz w:val="18"/>
        </w:rPr>
        <w:t>Tabla N.° 15: Oportunidades identificadas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Layout w:type="fixed"/>
        <w:tblW w:w="9072" w:type="dxa"/>
      </w:tblPr>
      <w:tblGrid>
        <w:gridCol w:w="680"/>
        <w:gridCol w:w="2494"/>
        <w:gridCol w:w="1020"/>
        <w:gridCol w:w="3742"/>
        <w:gridCol w:w="1134"/>
      </w:tblGrid>
      <w:tr>
        <w:trPr>
          <w:tblHeader w:val="true"/>
        </w:trPr>
        <w:tc>
          <w:tcPr>
            <w:tcW w:type="dxa" w:w="680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COD.</w:t>
            </w:r>
          </w:p>
        </w:tc>
        <w:tc>
          <w:tcPr>
            <w:tcW w:type="dxa" w:w="2494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OPORTUNIDAD</w:t>
            </w:r>
          </w:p>
        </w:tc>
        <w:tc>
          <w:tcPr>
            <w:tcW w:type="dxa" w:w="1020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ESTRATEGIA</w:t>
            </w:r>
          </w:p>
        </w:tc>
        <w:tc>
          <w:tcPr>
            <w:tcW w:type="dxa" w:w="3742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ACCIONES</w:t>
            </w:r>
          </w:p>
        </w:tc>
        <w:tc>
          <w:tcPr>
            <w:tcW w:type="dxa" w:w="1134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VME AHORRO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O-01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Aprovechar el material de corte como relleno de terraplén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Explotar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Clasificar el material de corte y usar el apto en terraplenes; reduce préstamo y transporte.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183,333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O-02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Concentrar puentes, terraplenes y carpeta en el estiaje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Mejorar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Cronograma con hitos de estiaje y frentes paralelos; reduce la exposición a R-01 y R-03.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12 días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O-03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Compra anticipada de cemento asfáltico y alcantarillas TMC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Mejorar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Contratos de suministro al inicio de obra con entregas programadas.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6"/>
              </w:rPr>
              <w:t>60,000</w:t>
            </w:r>
          </w:p>
        </w:tc>
      </w:tr>
    </w:tbl>
    <w:p>
      <w:pPr>
        <w:spacing w:before="0" w:after="80" w:line="276" w:lineRule="auto"/>
        <w:jc w:val="both"/>
      </w:pPr>
    </w:p>
    <w:p>
      <w:pPr>
        <w:pStyle w:val="Heading1"/>
        <w:keepNext/>
        <w:spacing w:before="240" w:after="120"/>
      </w:pPr>
      <w:r>
        <w:rPr>
          <w:rFonts w:ascii="Arial" w:hAnsi="Arial" w:cs="Arial"/>
          <w:b/>
          <w:i w:val="0"/>
          <w:color w:val="1F4E79"/>
          <w:sz w:val="24"/>
        </w:rPr>
        <w:t>12. ORGANIZACIÓN Y SEGUIMIENTO</w:t>
      </w:r>
    </w:p>
    <w:p>
      <w:pPr>
        <w:pStyle w:val="Heading2"/>
        <w:keepNext/>
        <w:spacing w:before="160" w:after="120"/>
      </w:pPr>
      <w:r>
        <w:rPr>
          <w:rFonts w:ascii="Arial" w:hAnsi="Arial" w:cs="Arial"/>
          <w:b/>
          <w:i w:val="0"/>
          <w:color w:val="1F4E79"/>
          <w:sz w:val="21"/>
        </w:rPr>
        <w:t>12.1 Comité de gestión de riesgos</w:t>
      </w:r>
    </w:p>
    <w:p>
      <w:pPr>
        <w:spacing w:before="0" w:after="120" w:line="276" w:lineRule="auto"/>
        <w:jc w:val="both"/>
      </w:pPr>
      <w:r>
        <w:rPr>
          <w:rFonts w:ascii="Arial" w:hAnsi="Arial" w:cs="Arial"/>
          <w:b w:val="0"/>
          <w:i w:val="0"/>
          <w:sz w:val="20"/>
        </w:rPr>
        <w:t>La cuantía de la obra (S/ 122,376,368.88) supera los S/ 50 000 000, por lo que la Entidad debe conformar el comité de gestión de riesgos del artículo 156 del reglamento. Se propone integrarlo con:</w:t>
      </w:r>
    </w:p>
    <w:p>
      <w:pPr>
        <w:spacing w:before="0" w:after="60" w:line="276" w:lineRule="auto"/>
        <w:ind w:left="510" w:hanging="255"/>
        <w:jc w:val="both"/>
      </w:pPr>
      <w:r>
        <w:rPr>
          <w:rFonts w:ascii="Arial" w:hAnsi="Arial" w:cs="Arial"/>
          <w:b w:val="0"/>
          <w:i w:val="0"/>
          <w:sz w:val="20"/>
        </w:rPr>
        <w:t>•  El director de caminos de la DRTC San Martín o su representante, que lo preside.</w:t>
      </w:r>
    </w:p>
    <w:p>
      <w:pPr>
        <w:spacing w:before="0" w:after="60" w:line="276" w:lineRule="auto"/>
        <w:ind w:left="510" w:hanging="255"/>
        <w:jc w:val="both"/>
      </w:pPr>
      <w:r>
        <w:rPr>
          <w:rFonts w:ascii="Arial" w:hAnsi="Arial" w:cs="Arial"/>
          <w:b w:val="0"/>
          <w:i w:val="0"/>
          <w:sz w:val="20"/>
        </w:rPr>
        <w:t>•  Un representante del área usuaria y uno de la dependencia encargada de las contrataciones.</w:t>
      </w:r>
    </w:p>
    <w:p>
      <w:pPr>
        <w:spacing w:before="0" w:after="60" w:line="276" w:lineRule="auto"/>
        <w:ind w:left="510" w:hanging="255"/>
        <w:jc w:val="both"/>
      </w:pPr>
      <w:r>
        <w:rPr>
          <w:rFonts w:ascii="Arial" w:hAnsi="Arial" w:cs="Arial"/>
          <w:b w:val="0"/>
          <w:i w:val="0"/>
          <w:sz w:val="20"/>
        </w:rPr>
        <w:t>•  El inspector o el supervisor de obra.</w:t>
      </w:r>
    </w:p>
    <w:p>
      <w:pPr>
        <w:spacing w:before="0" w:after="60" w:line="276" w:lineRule="auto"/>
        <w:ind w:left="510" w:hanging="255"/>
        <w:jc w:val="both"/>
      </w:pPr>
      <w:r>
        <w:rPr>
          <w:rFonts w:ascii="Arial" w:hAnsi="Arial" w:cs="Arial"/>
          <w:b w:val="0"/>
          <w:i w:val="0"/>
          <w:sz w:val="20"/>
        </w:rPr>
        <w:t>•  Como invitados: el residente de obra y los especialistas que se requieran (geotecnia, puentes, ambiental, social).</w:t>
      </w:r>
    </w:p>
    <w:p>
      <w:pPr>
        <w:spacing w:before="0" w:after="120" w:line="276" w:lineRule="auto"/>
        <w:jc w:val="both"/>
      </w:pPr>
      <w:r>
        <w:rPr>
          <w:rFonts w:ascii="Arial" w:hAnsi="Arial" w:cs="Arial"/>
          <w:b w:val="0"/>
          <w:i w:val="0"/>
          <w:sz w:val="20"/>
        </w:rPr>
        <w:t>Funciones: aprobar la matriz al inicio de la obra; revisar mensualmente los riesgos de nivel ALTO y MODERADO y las alertas tempranas; aprobar los riesgos y oportunidades nuevos y sus respuestas; decidir el uso de la reserva de contingencia; y registrar sus acuerdos en acta.</w:t>
      </w:r>
    </w:p>
    <w:p>
      <w:pPr>
        <w:pStyle w:val="Heading2"/>
        <w:keepNext/>
        <w:spacing w:before="160" w:after="120"/>
      </w:pPr>
      <w:r>
        <w:rPr>
          <w:rFonts w:ascii="Arial" w:hAnsi="Arial" w:cs="Arial"/>
          <w:b/>
          <w:i w:val="0"/>
          <w:color w:val="1F4E79"/>
          <w:sz w:val="21"/>
        </w:rPr>
        <w:t>12.2 Ciclo de seguimiento</w:t>
      </w:r>
    </w:p>
    <w:p>
      <w:pPr>
        <w:spacing w:before="0" w:after="60" w:line="276" w:lineRule="auto"/>
        <w:ind w:left="510" w:hanging="255"/>
        <w:jc w:val="both"/>
      </w:pPr>
      <w:r>
        <w:rPr>
          <w:rFonts w:ascii="Arial" w:hAnsi="Arial" w:cs="Arial"/>
          <w:b w:val="0"/>
          <w:i w:val="0"/>
          <w:sz w:val="20"/>
        </w:rPr>
        <w:t>•  Cada semana: el residente revisa las alertas tempranas de los riesgos de su frente y las anota en el cuaderno de obra.</w:t>
      </w:r>
    </w:p>
    <w:p>
      <w:pPr>
        <w:spacing w:before="0" w:after="60" w:line="276" w:lineRule="auto"/>
        <w:ind w:left="510" w:hanging="255"/>
        <w:jc w:val="both"/>
      </w:pPr>
      <w:r>
        <w:rPr>
          <w:rFonts w:ascii="Arial" w:hAnsi="Arial" w:cs="Arial"/>
          <w:b w:val="0"/>
          <w:i w:val="0"/>
          <w:sz w:val="20"/>
        </w:rPr>
        <w:t>•  Cada mes, con la valorización: el supervisor actualiza la hoja SEGUIMIENTO de la matriz (estado, probabilidad e impacto actuales, acción ejecutada) y la presenta al comité.</w:t>
      </w:r>
    </w:p>
    <w:p>
      <w:pPr>
        <w:spacing w:before="0" w:after="60" w:line="276" w:lineRule="auto"/>
        <w:ind w:left="510" w:hanging="255"/>
        <w:jc w:val="both"/>
      </w:pPr>
      <w:r>
        <w:rPr>
          <w:rFonts w:ascii="Arial" w:hAnsi="Arial" w:cs="Arial"/>
          <w:b w:val="0"/>
          <w:i w:val="0"/>
          <w:sz w:val="20"/>
        </w:rPr>
        <w:t>•  Ante una alerta activada o un riesgo ocurrido: comunicación al supervisor en el día, aplicación del plan de respuesta y registro del costo y el plazo reales.</w:t>
      </w:r>
    </w:p>
    <w:p>
      <w:pPr>
        <w:spacing w:before="0" w:after="60" w:line="276" w:lineRule="auto"/>
        <w:ind w:left="510" w:hanging="255"/>
        <w:jc w:val="both"/>
      </w:pPr>
      <w:r>
        <w:rPr>
          <w:rFonts w:ascii="Arial" w:hAnsi="Arial" w:cs="Arial"/>
          <w:b w:val="0"/>
          <w:i w:val="0"/>
          <w:sz w:val="20"/>
        </w:rPr>
        <w:t>•  Al cierre de cada temporada de lluvias y al término de la obra: lecciones aprendidas y cierre de los riesgos que ya no aplican.</w:t>
      </w:r>
    </w:p>
    <w:p>
      <w:pPr>
        <w:pStyle w:val="Heading1"/>
        <w:keepNext/>
        <w:spacing w:before="240" w:after="120"/>
      </w:pPr>
      <w:r>
        <w:rPr>
          <w:rFonts w:ascii="Arial" w:hAnsi="Arial" w:cs="Arial"/>
          <w:b/>
          <w:i w:val="0"/>
          <w:color w:val="1F4E79"/>
          <w:sz w:val="24"/>
        </w:rPr>
        <w:t>13. CONCLUSIONES Y RECOMENDACIONES</w:t>
      </w:r>
    </w:p>
    <w:p>
      <w:pPr>
        <w:pStyle w:val="Heading2"/>
        <w:keepNext/>
        <w:spacing w:before="160" w:after="120"/>
      </w:pPr>
      <w:r>
        <w:rPr>
          <w:rFonts w:ascii="Arial" w:hAnsi="Arial" w:cs="Arial"/>
          <w:b/>
          <w:i w:val="0"/>
          <w:color w:val="1F4E79"/>
          <w:sz w:val="21"/>
        </w:rPr>
        <w:t>13.1 Conclusiones</w:t>
      </w:r>
    </w:p>
    <w:p>
      <w:pPr>
        <w:spacing w:before="0" w:after="60" w:line="276" w:lineRule="auto"/>
        <w:ind w:left="510" w:hanging="255"/>
        <w:jc w:val="both"/>
      </w:pPr>
      <w:r>
        <w:rPr>
          <w:rFonts w:ascii="Arial" w:hAnsi="Arial" w:cs="Arial"/>
          <w:b w:val="0"/>
          <w:i w:val="0"/>
          <w:sz w:val="20"/>
        </w:rPr>
        <w:t>•  Se identificaron 34 riesgos y 3 oportunidades para la ejecución de la obra. Sin respuesta, 4 son de nivel ALTO: canteras y transporte (R-08), certificación ambiental (R-15), lluvias estacionales (R-01) y depósitos de material excedente (R-25).</w:t>
      </w:r>
    </w:p>
    <w:p>
      <w:pPr>
        <w:spacing w:before="0" w:after="60" w:line="276" w:lineRule="auto"/>
        <w:ind w:left="510" w:hanging="255"/>
        <w:jc w:val="both"/>
      </w:pPr>
      <w:r>
        <w:rPr>
          <w:rFonts w:ascii="Arial" w:hAnsi="Arial" w:cs="Arial"/>
          <w:b w:val="0"/>
          <w:i w:val="0"/>
          <w:sz w:val="20"/>
        </w:rPr>
        <w:t>•  Con el plan de respuesta, ningún riesgo queda en nivel ALTO; 11 quedan en MODERADO.</w:t>
      </w:r>
    </w:p>
    <w:p>
      <w:pPr>
        <w:spacing w:before="0" w:after="60" w:line="276" w:lineRule="auto"/>
        <w:ind w:left="510" w:hanging="255"/>
        <w:jc w:val="both"/>
      </w:pPr>
      <w:r>
        <w:rPr>
          <w:rFonts w:ascii="Arial" w:hAnsi="Arial" w:cs="Arial"/>
          <w:b w:val="0"/>
          <w:i w:val="0"/>
          <w:sz w:val="20"/>
        </w:rPr>
        <w:t>•  La exposición de la Entidad al 80 % de confianza baja de S/ 14.46 M a S/ 7.87 M si las acciones previas a la convocatoria se ejecutan a tiempo.</w:t>
      </w:r>
    </w:p>
    <w:p>
      <w:pPr>
        <w:spacing w:before="0" w:after="60" w:line="276" w:lineRule="auto"/>
        <w:ind w:left="510" w:hanging="255"/>
        <w:jc w:val="both"/>
      </w:pPr>
      <w:r>
        <w:rPr>
          <w:rFonts w:ascii="Arial" w:hAnsi="Arial" w:cs="Arial"/>
          <w:b w:val="0"/>
          <w:i w:val="0"/>
          <w:sz w:val="20"/>
        </w:rPr>
        <w:t>•  La FTE declara que no hay deslizamientos ni inundaciones y que la orografía es plana. El inventario vial y el relieve muestran lo contrario: inundación por arrozales, empozamientos, taludes de 20 y 30 m y terreno ondulado desde el km 23.</w:t>
      </w:r>
    </w:p>
    <w:p>
      <w:pPr>
        <w:spacing w:before="0" w:after="60" w:line="276" w:lineRule="auto"/>
        <w:ind w:left="510" w:hanging="255"/>
        <w:jc w:val="both"/>
      </w:pPr>
      <w:r>
        <w:rPr>
          <w:rFonts w:ascii="Arial" w:hAnsi="Arial" w:cs="Arial"/>
          <w:b w:val="0"/>
          <w:i w:val="0"/>
          <w:sz w:val="20"/>
        </w:rPr>
        <w:t>•  Los documentos tienen 19 incompatibilidades que generan riesgo (capítulo 8). Entre ellas: tres longitudes distintas del tramo, plazo de 8 meses frente a 720 días, DME de 0.38 ha para 297,756 m³ y metrados de puentes repetidos.</w:t>
      </w:r>
    </w:p>
    <w:p>
      <w:pPr>
        <w:pStyle w:val="Heading2"/>
        <w:keepNext/>
        <w:spacing w:before="160" w:after="120"/>
      </w:pPr>
      <w:r>
        <w:rPr>
          <w:rFonts w:ascii="Arial" w:hAnsi="Arial" w:cs="Arial"/>
          <w:b/>
          <w:i w:val="0"/>
          <w:color w:val="1F4E79"/>
          <w:sz w:val="21"/>
        </w:rPr>
        <w:t>13.2 Recomendaciones</w:t>
      </w:r>
    </w:p>
    <w:p>
      <w:pPr>
        <w:spacing w:before="0" w:after="60" w:line="276" w:lineRule="auto"/>
        <w:ind w:left="510" w:hanging="255"/>
        <w:jc w:val="both"/>
      </w:pPr>
      <w:r>
        <w:rPr>
          <w:rFonts w:ascii="Arial" w:hAnsi="Arial" w:cs="Arial"/>
          <w:b w:val="0"/>
          <w:i w:val="0"/>
          <w:sz w:val="20"/>
        </w:rPr>
        <w:t>•  Levantar las observaciones del capítulo 8 y compatibilizar el expediente técnico antes de la convocatoria.</w:t>
      </w:r>
    </w:p>
    <w:p>
      <w:pPr>
        <w:spacing w:before="0" w:after="60" w:line="276" w:lineRule="auto"/>
        <w:ind w:left="510" w:hanging="255"/>
        <w:jc w:val="both"/>
      </w:pPr>
      <w:r>
        <w:rPr>
          <w:rFonts w:ascii="Arial" w:hAnsi="Arial" w:cs="Arial"/>
          <w:b w:val="0"/>
          <w:i w:val="0"/>
          <w:sz w:val="20"/>
        </w:rPr>
        <w:t>•  Obtener antes de convocar la certificación ambiental, el instrumento arqueológico, las autorizaciones de agua y de extracción en cauce, las actas de libre disponibilidad y la factibilidad de las concesionarias. También confirmar la potencia y calidad de canteras y la capacidad de los DME.</w:t>
      </w:r>
    </w:p>
    <w:p>
      <w:pPr>
        <w:spacing w:before="0" w:after="60" w:line="276" w:lineRule="auto"/>
        <w:ind w:left="510" w:hanging="255"/>
        <w:jc w:val="both"/>
      </w:pPr>
      <w:r>
        <w:rPr>
          <w:rFonts w:ascii="Arial" w:hAnsi="Arial" w:cs="Arial"/>
          <w:b w:val="0"/>
          <w:i w:val="0"/>
          <w:sz w:val="20"/>
        </w:rPr>
        <w:t>•  Verificar con estudios por sitio la estabilidad de los cortes en 36+060 y 37+520 y la hidráulica, la socavación y la cimentación de cada puente.</w:t>
      </w:r>
    </w:p>
    <w:p>
      <w:pPr>
        <w:spacing w:before="0" w:after="60" w:line="276" w:lineRule="auto"/>
        <w:ind w:left="510" w:hanging="255"/>
        <w:jc w:val="both"/>
      </w:pPr>
      <w:r>
        <w:rPr>
          <w:rFonts w:ascii="Arial" w:hAnsi="Arial" w:cs="Arial"/>
          <w:b w:val="0"/>
          <w:i w:val="0"/>
          <w:sz w:val="20"/>
        </w:rPr>
        <w:t>•  Prever una reserva de contingencia de S/ 7.87 M (P80 residual) y la certificación y previsión presupuestal multianual del proyecto.</w:t>
      </w:r>
    </w:p>
    <w:p>
      <w:pPr>
        <w:spacing w:before="0" w:after="60" w:line="276" w:lineRule="auto"/>
        <w:ind w:left="510" w:hanging="255"/>
        <w:jc w:val="both"/>
      </w:pPr>
      <w:r>
        <w:rPr>
          <w:rFonts w:ascii="Arial" w:hAnsi="Arial" w:cs="Arial"/>
          <w:b w:val="0"/>
          <w:i w:val="0"/>
          <w:sz w:val="20"/>
        </w:rPr>
        <w:t>•  Conformar el comité de gestión de riesgos e incorporar la matriz (Excel) al expediente de contratación, con la asignación propuesta.</w:t>
      </w:r>
    </w:p>
    <w:p>
      <w:pPr>
        <w:spacing w:before="0" w:after="60" w:line="276" w:lineRule="auto"/>
        <w:ind w:left="510" w:hanging="255"/>
        <w:jc w:val="both"/>
      </w:pPr>
      <w:r>
        <w:rPr>
          <w:rFonts w:ascii="Arial" w:hAnsi="Arial" w:cs="Arial"/>
          <w:b w:val="0"/>
          <w:i w:val="0"/>
          <w:sz w:val="20"/>
        </w:rPr>
        <w:t>•  Exigir al contratista la póliza Todo Riesgo Construcción, el seguro de responsabilidad civil, el plan de manejo del tránsito y el cronograma con calendario de lluvias.</w:t>
      </w:r>
    </w:p>
    <w:p>
      <w:pPr>
        <w:spacing w:before="0" w:after="60" w:line="276" w:lineRule="auto"/>
        <w:ind w:left="510" w:hanging="255"/>
        <w:jc w:val="both"/>
      </w:pPr>
      <w:r>
        <w:rPr>
          <w:rFonts w:ascii="Arial" w:hAnsi="Arial" w:cs="Arial"/>
          <w:b w:val="0"/>
          <w:i w:val="0"/>
          <w:sz w:val="20"/>
        </w:rPr>
        <w:t>•  Adecuar la matriz a la directiva de gestión de riesgos de la Dirección General de Abastecimiento si se publica antes de la convocatoria.</w:t>
      </w:r>
    </w:p>
    <w:p>
      <w:pPr>
        <w:spacing w:before="120" w:after="120" w:line="276" w:lineRule="auto"/>
        <w:jc w:val="both"/>
      </w:pPr>
      <w:r>
        <w:rPr>
          <w:rFonts w:ascii="Arial" w:hAnsi="Arial" w:cs="Arial"/>
          <w:b w:val="0"/>
          <w:i/>
          <w:sz w:val="17"/>
        </w:rPr>
        <w:t>Fuentes: estudio de inventario vial SM-107 (2026), FTE del MTC (registro 01/04/2025) y su resumen ejecutivo (diciembre 2024), presupuesto S10 (costo al 02/12/2024), plano clave PC-01 (noviembre 2024), modelo Copernicus GLO-30 y NOAA GHCN-Daily.</w:t>
      </w:r>
    </w:p>
    <w:p>
      <w:pPr>
        <w:spacing w:before="360" w:after="120" w:line="276" w:lineRule="auto"/>
        <w:jc w:val="center"/>
      </w:pPr>
      <w:r>
        <w:rPr>
          <w:rFonts w:ascii="Arial" w:hAnsi="Arial" w:cs="Arial"/>
          <w:b w:val="0"/>
          <w:i w:val="0"/>
          <w:sz w:val="18"/>
        </w:rPr>
        <w:br/>
        <w:br/>
        <w:t>_______________________________</w:t>
        <w:br/>
        <w:t>Especialista en gestión de riesgos</w:t>
        <w:br/>
        <w:t>CIP: __________</w:t>
      </w:r>
    </w:p>
    <w:p>
      <w:pPr>
        <w:sectPr>
          <w:footerReference w:type="default" r:id="rId18"/>
          <w:pgSz w:w="11906" w:h="16838"/>
          <w:pgMar w:top="1417" w:right="1417" w:bottom="1134" w:left="1417" w:header="720" w:footer="720" w:gutter="0"/>
          <w:cols w:space="720"/>
          <w:docGrid w:linePitch="360"/>
        </w:sectPr>
      </w:pPr>
    </w:p>
    <w:p>
      <w:pPr>
        <w:pStyle w:val="Heading1"/>
        <w:keepNext/>
        <w:spacing w:before="240" w:after="120"/>
      </w:pPr>
      <w:r>
        <w:rPr>
          <w:rFonts w:ascii="Arial" w:hAnsi="Arial" w:cs="Arial"/>
          <w:b/>
          <w:i w:val="0"/>
          <w:color w:val="1F4E79"/>
          <w:sz w:val="24"/>
        </w:rPr>
        <w:t>14. ANEXOS</w:t>
      </w:r>
    </w:p>
    <w:p>
      <w:pPr>
        <w:pStyle w:val="Heading2"/>
        <w:keepNext/>
        <w:spacing w:before="160" w:after="120"/>
      </w:pPr>
      <w:r>
        <w:rPr>
          <w:rFonts w:ascii="Arial" w:hAnsi="Arial" w:cs="Arial"/>
          <w:b/>
          <w:i w:val="0"/>
          <w:color w:val="1F4E79"/>
          <w:sz w:val="21"/>
        </w:rPr>
        <w:t>14.1 Anexo 1: Registro de riesgos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Layout w:type="fixed"/>
        <w:tblW w:w="14515" w:type="dxa"/>
      </w:tblPr>
      <w:tblGrid>
        <w:gridCol w:w="680"/>
        <w:gridCol w:w="2381"/>
        <w:gridCol w:w="2835"/>
        <w:gridCol w:w="2268"/>
        <w:gridCol w:w="2608"/>
        <w:gridCol w:w="1247"/>
        <w:gridCol w:w="2494"/>
      </w:tblGrid>
      <w:tr>
        <w:trPr>
          <w:tblHeader w:val="true"/>
        </w:trPr>
        <w:tc>
          <w:tcPr>
            <w:tcW w:type="dxa" w:w="680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3"/>
              </w:rPr>
              <w:t>COD.</w:t>
            </w:r>
          </w:p>
        </w:tc>
        <w:tc>
          <w:tcPr>
            <w:tcW w:type="dxa" w:w="2381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3"/>
              </w:rPr>
              <w:t>RIESGO</w:t>
            </w:r>
          </w:p>
        </w:tc>
        <w:tc>
          <w:tcPr>
            <w:tcW w:type="dxa" w:w="2835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3"/>
              </w:rPr>
              <w:t>CAUSA</w:t>
            </w:r>
          </w:p>
        </w:tc>
        <w:tc>
          <w:tcPr>
            <w:tcW w:type="dxa" w:w="2268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3"/>
              </w:rPr>
              <w:t>EFECTO</w:t>
            </w:r>
          </w:p>
        </w:tc>
        <w:tc>
          <w:tcPr>
            <w:tcW w:type="dxa" w:w="2608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3"/>
              </w:rPr>
              <w:t>EVIDENCIA</w:t>
            </w:r>
          </w:p>
        </w:tc>
        <w:tc>
          <w:tcPr>
            <w:tcW w:type="dxa" w:w="1247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3"/>
              </w:rPr>
              <w:t>MOMENTO</w:t>
            </w:r>
          </w:p>
        </w:tc>
        <w:tc>
          <w:tcPr>
            <w:tcW w:type="dxa" w:w="2494"/>
            <w:shd w:val="clear" w:color="auto" w:fill="1F4E79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3"/>
              </w:rPr>
              <w:t>PARTIDA O RECURSO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R-01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Lluvias estacionales intensas (octubre a abril) que paralizan el movimiento de tierras, la pavimentación y los vaciados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Clima cálido y húmedo con lluvias todo el año: 1,020 mm anuales en Tarapoto y 1,471 mm en Juanjuí (NOAA GHCN-Daily), con máximos en marzo y en octubre-noviembre; el plazo de 720 días abarca dos temporadas de lluvias.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Días no trabajables, capas granulares saturadas que se deben reprocesar, retraso de la ruta crítica.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FTE: lluvias intensas SI, nivel medio. Inventario: empozamientos y pérdida de material por escorrentía.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Ejecución (oct-abr)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Gastos generales del contratista; 1.04.02 Mantenimiento de tránsito temporal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R-02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Lluvias extraordinarias o anomalías climáticas (El Niño / La Niña) con desborde de quebradas y daños a la obra ejecutada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Eventos de lluvia superiores a los de diseño, declarados por el ENFEN o con declaratoria de emergencia.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Daños en terraplenes, alcantarillas y accesos de puentes; ampliación de plazo con gastos generales.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FTE 18.3: el área ha sido afectada por desastres. Inventario: inundación 20+360 a 21+170.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Ejecución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Póliza CAR del contratista; reserva de contingencia de la Entidad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R-03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Crecidas de quebradas durante la construcción de estribos de los 5 puentes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Demolición de estribos existentes y excavación bajo agua (806.94 m³ en cada puente de 40 m) en época de lluvias.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Inundación de excavaciones, arrastre de encofrados y ataguías, reprogramación de la subestructura.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S10 1.10: excavación bajo agua, encauzamiento de quebrada y desvío temporal en cada puente.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Ejecución de puentes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1.04.10 Desvío provisional de curso de agua; 1.10.0x.01.05 Encauzamiento de quebrada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R-04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Inestabilidad de taludes y deslizamientos durante los cortes en ladera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Taludes altos (h = 20 a 30 m) en suelos limosos y arcillosos saturables; pendientes del entorno de hasta 40° (modelo digital).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Derrumbes sobre la plataforma, cortes adicionales, banquetas o muros no previstos, riesgo para el personal.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Inventario: zonas críticas por inestabilidad de talud. FTE 18.3 declara deslizamientos NO.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Antes del inicio y ejecución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1.05.02 a 1.05.04 Cortes; 1.08.03 Muros de contención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R-05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Erosión y socavación de la plataforma y de los terraplenes en construcción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Escorrentía sin control y bordes con desnivel de 2 a 5 m; drenaje transversal colmatado.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Pérdida de terraplén, reducción del ancho útil, reconstrucción de capas y protección adicional.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Inventario: zonas críticas por erosión y alcantarillas colmatadas o semicolmatadas.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Ejecución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1.08.04 Muros de gavión (S/ 2.96 M); 1.05.08 Geobolsas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R-06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Saturación de terraplenes por inundación de arrozales, canales de riego y empozamientos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La vía cruza zonas de cultivo de arroz con riego por inundación y sectores sin elemento de descarga.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Subrasante saturada, mayor mejoramiento de suelos, retraso de la compactación.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Inventario: inundación por cultivos de arroz y empozamientos sin descarga; cuadro 8 propone alcantarillas en 26+924, 34+954, 40+380 y 43+660.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Ejecución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1.05.06 Mejoramiento de suelos; 1.05.09 Geotextil; 1.05.11 a 1.05.13 Subdrenaje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R-07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Subrasante de menor capacidad de soporte que la prevista en el expediente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Suelos limosos y arcillosos variables; exploración con espaciamiento insuficiente.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Mayor volumen de mejoramiento de suelos y geomalla (mayores metrados).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Inventario 10.2: terreno natural limoso y arcilloso. S10: mejoramiento 59,801 m³.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Antes de la convocatoria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1.05.06 Mejoramiento de suelos (S/ 3.53 M CD); 1.05.07 Geomalla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R-08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Cantera insuficiente, sin calidad o sin autorización, con mayor distancia de transporte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Unos 423,600 m³ de material granular (terraplén, mejoramiento, subbase y base) dependen de canteras de río; la distancia media es ~31 km.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Cada kilómetro adicional cuesta unos S/ 0.92 M a precio de obra; retraso en la producción de agregados.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S10 1.07.02: transporte &gt; 1 km, 13,074,057 m³k a S/ 1.57; 1.04.07 y 1.04.08 cantera.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Antes de la convocatoria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1.04.07, 1.04.08 Cantera; 1.07 Transporte (S/ 25.60 M CD)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R-09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Demora en autorizaciones de uso de agua y de extracción de material de cauce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Trámites ante la Autoridad Local del Agua y la municipalidad no iniciados en la fase de formulación.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Paralización de la producción de agregados, del riego y de los vaciados.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S10 1.04.09 Acceso a fuente de agua; 1.04.08 Cantera de río.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Antes del inicio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—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R-10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Falta de libre disponibilidad del terreno para el ensanche de la plataforma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El ancho pasa de 4.50-6.00 m a 7.00 m más cunetas; derecho de vía de 20 m inexistente; viviendas, cercos y cultivos en el borde.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Frentes detenidos, compensaciones, rediseño de cunetas y del eje en zonas urbanas.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FTE 11: acta de libre disponibilidad requerida; PACRI no marcado. Resumen ejecutivo: derecho de vía 'no cuenta'.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Antes de la convocatoria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Fuera del presupuesto de obra (gestión de la Entidad)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R-11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Interferencias con redes eléctricas, de agua potable y de telecomunicaciones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73 postes a reubicar; pases de agua potable y tuberías de PVC bajo la vía; no se marcó el estudio de factibilidad de servicios.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Cortes de servicio, reclamos, espera de la concesionaria, frentes detenidos.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S10 1.04.12 Reubicación de postes (73 und, S/ 164,250); inventario 11.3.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Antes del inicio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1.04.12 Reubicación de postes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R-12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Afectación de canales y cruces de riego con reclamos de los agricultores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6 cruces de canal, un canal paralelo (31+100 a 31+920) y alcantarillas compartidas con el riego.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Corte del riego de arrozales, reclamos, paralización de frentes, indemnizaciones.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Inventario 11.1 y 11.3: cruces de canal de regadío TMC 72" y de concreto.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Ejecución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1.08.01 Alcantarillas TMC; 1.11.08 Plan de gestión social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R-13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Conflictos sociales y paralizaciones de la población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Expectativas de empleo local, polvo, ruido, accesos a viviendas y afectaciones de predios.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Paralización de frentes, reprogramación, compromisos adicionales.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S10 1.11.08 Plan de gestión social, S/ 27,600, programado solo para 3 meses.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Antes del inicio y ejecución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1.11.08 Plan de gestión social; 1.11.04 Riego para polvo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R-14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Hallazgos arqueológicos o falta del instrumento de intervención arqueológica aprobado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En la FTE no se marcó el CIRA; el presupuesto solo considera monitoreo arqueológico (S/ 12,000).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Paralización de frentes por el Ministerio de Cultura hasta el rescate o la liberación.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FTE 11: CIRA sin marcar; S10 1.12.01 Plan y monitoreo arqueológico.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Antes del inicio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1.12.01 Plan y monitoreo arqueológico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R-15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Demora o condicionamiento de la certificación ambiental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La FTE señala que se requiere estudio de impacto ambiental; sin certificación no se puede iniciar la obra.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Inicio postergado o cambios del Plan de Manejo Ambiental.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FTE 11 y 21; S10 1.11 Plan de manejo ambiental (S/ 1.18 M CD).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Antes de la convocatoria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1.11 Plan de manejo ambiental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R-16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Deficiencias e incompatibilidades del expediente técnico (metrados, longitudes, diseños)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Diferencias de longitud (24.09, 24.70 y 25.350 km), puentes con metrados repetidos y partidas con unidad o metrado dudoso (ver sección 7).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Adicionales, deductivos, consultas y controversias; mayor plazo.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S10, FTE e inventario vial (sección 7 del estudio).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Antes de la convocatoria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2.50 M Expediente técnico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R-17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Variación de precios de insumos críticos (asfalto, combustible, acero, TMC)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El cemento asfáltico (S/ 5.76 M CD), el transporte (S/ 25.60 M CD) y las vigas metálicas dependen de precios internacionales.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Mayor costo vía reajuste de precios; presión sobre el financiamiento.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S10: 1.06.02.03 Cemento asfáltico; 1.07 Transporte; 1.10 Vigas metálicas 84.49 t por puente.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Ejecución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Reajustes (fuera del costo directo)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R-18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Retraso en el suministro de materiales de importación o fabricación especial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Cemento asfáltico, TMC MP-68, vigas metálicas (84.49 t en cada puente de 40 m), neoprenos y geosintéticos con plazos largos.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Frentes detenidos, puentes fuera de secuencia.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S10 1.08.01.12 a 14 (TMC); 1.10.01.04 y 1.10.02.04 (vigas metálicas).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Inicio y ejecución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Costos del contratista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R-19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Falla o insuficiencia de equipos (planta de asfalto, chancadora, compactación)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Zona alejada de talleres; transporte de equipo por la PE-5N.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Baja producción y retraso del pavimento.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S10 1.01.03 Movilización de equipo (S/ 93,408).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Ejecución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Costos del contratista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R-20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Accidentes de tránsito y atropellos en la vía en servicio durante la obra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IMD de 254 veh/día, un carril, desvíos, maquinaria y peatones en 9 localidades.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Víctimas, responsabilidad civil y penal, paralización del frente.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FTE: IMDA 254 veh/día. S10 1.04.02 Mantenimiento de tránsito (S/ 578,336).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Ejecución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1.04.02 Mantenimiento de tránsito; 1.02.03 Señalización transitoria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R-21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Accidentes de trabajo graves (izaje de vigas, trabajo en agua, excavaciones, maquinaria)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Montaje de vigas metálicas, excavación bajo agua y cortes altos.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Lesiones o fatalidades, paralización por la autoridad de trabajo.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S10 1.02 Seguridad y salud (S/ 268,295); 1.10 Montaje de estructuras metálicas.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Ejecución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1.02 Seguridad y salud ocupacional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R-22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Sismo de intensidad moderada a alta durante la obra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Actividad sísmica de la región nororiental.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Daños a estructuras en construcción y a taludes; paralización.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FTE 18.3: sismos SI, nivel bajo.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Ejecución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Póliza CAR; 1.02.05 Recursos para emergencias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R-23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Retraso en el financiamiento o en los pagos de valorizaciones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Fuente de recursos determinados (canon, FONCOR) sujeta a variaciones; inversión de S/ 132.70 M en 24 meses.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Ritmo de obra menor, paralización y reconocimiento de gastos generales.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FTE 20: recursos determinados. Resumen ejecutivo: canon, FONCOR, RDR.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Antes de la convocatoria y ejecución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—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R-24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Demoras en la absolución de consultas, aprobación de prestaciones adicionales y decisiones de la Entidad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Volumen de consultas por las observaciones del expediente; designación tardía de la supervisión.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Frentes detenidos, ampliaciones de plazo y controversias.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—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Ejecución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—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R-25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Áreas de depósito de material excedente (DME) insuficientes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Se presupuesta 0.38 ha de DME para 297,756 m³ de excedente (altura equivalente de 78 m).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DME adicionales, mayor transporte, observaciones ambientales.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S10 1.04.04 DME 0.38 ha; 1.11.01.01 Acomodo de 297,756 m³.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Antes de la convocatoria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1.04.03, 1.04.04, 1.11.01 DME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R-26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Contaminación de quebradas y suelos (sedimentos, derrames de asfalto y combustible)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Trabajos en cauce en 5 puentes, planta de asfalto y patio de máquinas.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Sanción ambiental, paralización, remediación.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S10 1.11.02 Residuos; 1.11.10 Monitoreo de calidad de agua (2 und).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Ejecución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1.11 Plan de manejo ambiental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R-27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Interrupción prolongada del tránsito y del acceso a las localidades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No existe vía alterna; demolición y reconstrucción de 5 puentes en el mismo eje.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Aislamiento de centros poblados, reclamos, exigencia de puentes provisionales.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S10: desvío temporal 4 a 85 m por puente; 1.04.11 Desvío temporal 18 'm'.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Ejecución de puentes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1.04.11 Desvío temporal; desvíos de cada puente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R-28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Calidad deficiente de la carpeta asfáltica o del concreto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Colocación con lluvia, temperatura de la mezcla por distancia de transporte, curado insuficiente.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Rechazo y reconstrucción, mayor plazo.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S10 1.06.02 MAC 10,469 m³; 1.07.05 y 1.07.06 Transporte de mezcla.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Ejecución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Costos del contratista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R-29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Enfermedades transmitidas por vectores (dengue) y emergencias sanitarias en el personal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Zona endémica de selva; campamento con agua estancada.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Ausentismo y menor rendimiento.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S10 1.02.05 Recursos para respuesta ante emergencias (S/ 10,500).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Ejecución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1.02 Seguridad y salud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R-30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Conflictos laborales y presión de gremios de construcción civil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Obra de gran monto en zona con oferta limitada de mano de obra calificada.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Paralizaciones y amenazas al personal.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—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Ejecución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1.11.08.03 Contratación de mano de obra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R-31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Robo y vandalismo de materiales, señales y equipos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Frentes dispersos en 25 km.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Reposición y retrasos menores.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—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Ejecución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1.01.01 Campamento y almacenes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R-32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Incendios y quemas agrícolas en época seca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Quema de rastrojos en la campaña agrícola (julio a setiembre).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Humo, baja visibilidad y daño a señales o geosintéticos.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—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Estiaje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—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R-33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Falla de los puentes existentes por el paso de equipo pesado antes de su reemplazo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Puentes antiguos de viga y losa, con señal de carga máxima de 30 t en el puente Barco.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Colapso o daño, corte de la vía, accidentes.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Inventario: señales 'Puente Barco carga máx. 30.0 TN' (29+318 y 29+380).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Inicio y ejecución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1.04.02 Mantenimiento de tránsito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R-34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Cambio de diseño de puentes por condiciones de cauce, socavación o cimentación distintas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Puentes Tingo de Ponasa y Barco con metrados de subestructura idénticos; luces de 40 m en cauces con socavación.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Mayores profundidades de cimentación o luces, adicionales y plazo.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S10 1.10.01.02 y 1.10.02.02: mismas cantidades de concreto, acero y falsa zapata.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Antes de la convocatoria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3"/>
              </w:rPr>
              <w:t>1.10 Puentes (S/ 9.87 M CD)</w:t>
            </w:r>
          </w:p>
        </w:tc>
      </w:tr>
    </w:tbl>
    <w:p>
      <w:pPr>
        <w:spacing w:before="0" w:after="80" w:line="276" w:lineRule="auto"/>
        <w:jc w:val="both"/>
      </w:pPr>
    </w:p>
    <w:p>
      <w:pPr>
        <w:pStyle w:val="Heading2"/>
        <w:keepNext/>
        <w:spacing w:before="160" w:after="120"/>
      </w:pPr>
      <w:r>
        <w:rPr>
          <w:rFonts w:ascii="Arial" w:hAnsi="Arial" w:cs="Arial"/>
          <w:b/>
          <w:i w:val="0"/>
          <w:color w:val="1F4E79"/>
          <w:sz w:val="21"/>
        </w:rPr>
        <w:t>14.2 Anexo 2: Documentos que acompañan el estudio</w:t>
      </w:r>
    </w:p>
    <w:p>
      <w:pPr>
        <w:spacing w:before="0" w:after="60" w:line="276" w:lineRule="auto"/>
        <w:ind w:left="510" w:hanging="255"/>
        <w:jc w:val="both"/>
      </w:pPr>
      <w:r>
        <w:rPr>
          <w:rFonts w:ascii="Arial" w:hAnsi="Arial" w:cs="Arial"/>
          <w:b w:val="0"/>
          <w:i w:val="0"/>
          <w:sz w:val="20"/>
        </w:rPr>
        <w:t>•  MATRIZ_GESTION_RIESGOS_EJECUCION_OBRA_SM107.xlsx: datos, escalas, identificación, análisis cualitativo y cuantitativo con fórmulas, Monte Carlo, mapa de calor, plan de respuesta, asignación, oportunidades, formato de seguimiento, observaciones y calendario.</w:t>
      </w:r>
    </w:p>
    <w:p>
      <w:pPr>
        <w:spacing w:before="0" w:after="60" w:line="276" w:lineRule="auto"/>
        <w:ind w:left="510" w:hanging="255"/>
        <w:jc w:val="both"/>
      </w:pPr>
      <w:r>
        <w:rPr>
          <w:rFonts w:ascii="Arial" w:hAnsi="Arial" w:cs="Arial"/>
          <w:b w:val="0"/>
          <w:i w:val="0"/>
          <w:sz w:val="20"/>
        </w:rPr>
        <w:t>•  PLANOS_GESTION_RIESGOS_SM107.dxf: PR-01 Plano de ubicación de riesgos (1/25,000, UTM WGS 84 zona 18 S) y PR-02 Diagrama lineal de riesgos por progresiva, con presentaciones para imprimir; vistas previas en PNG.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560000" cy="53395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-01_UBICACION_DE_RIESGO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5339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" w:line="276" w:lineRule="auto"/>
        <w:jc w:val="center"/>
      </w:pPr>
      <w:r>
        <w:rPr>
          <w:rFonts w:ascii="Arial" w:hAnsi="Arial" w:cs="Arial"/>
          <w:b/>
          <w:i w:val="0"/>
          <w:sz w:val="18"/>
        </w:rPr>
        <w:t>Figura N.° 08: Lámina PR-01: plano de ubicación de riesgos (vista previa)</w:t>
      </w:r>
    </w:p>
    <w:p>
      <w:pPr>
        <w:spacing w:before="0" w:after="160" w:line="276" w:lineRule="auto"/>
        <w:jc w:val="center"/>
      </w:pPr>
      <w:r>
        <w:rPr>
          <w:rFonts w:ascii="Arial" w:hAnsi="Arial" w:cs="Arial"/>
          <w:b w:val="0"/>
          <w:i/>
          <w:sz w:val="16"/>
        </w:rPr>
        <w:t>Fuente: PLANOS_GESTION_RIESGOS_SM107.dxf.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560000" cy="53395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-02_DIAGRAMA_LINEAL_DE_RIESGO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5339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" w:line="276" w:lineRule="auto"/>
        <w:jc w:val="center"/>
      </w:pPr>
      <w:r>
        <w:rPr>
          <w:rFonts w:ascii="Arial" w:hAnsi="Arial" w:cs="Arial"/>
          <w:b/>
          <w:i w:val="0"/>
          <w:sz w:val="18"/>
        </w:rPr>
        <w:t>Figura N.° 09: Lámina PR-02: diagrama lineal de riesgos por progresiva (vista previa)</w:t>
      </w:r>
    </w:p>
    <w:p>
      <w:pPr>
        <w:spacing w:before="0" w:after="160" w:line="276" w:lineRule="auto"/>
        <w:jc w:val="center"/>
      </w:pPr>
      <w:r>
        <w:rPr>
          <w:rFonts w:ascii="Arial" w:hAnsi="Arial" w:cs="Arial"/>
          <w:b w:val="0"/>
          <w:i/>
          <w:sz w:val="16"/>
        </w:rPr>
        <w:t>Fuente: PLANOS_GESTION_RIESGOS_SM107.dxf.</w:t>
      </w:r>
    </w:p>
    <w:sectPr w:rsidR="00FC693F" w:rsidRPr="0006063C" w:rsidSect="00034616">
      <w:footerReference w:type="default" r:id="rId19"/>
      <w:pgSz w:w="16838" w:h="11906" w:orient="landscape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Arial" w:hAnsi="Arial" w:cs="Arial"/>
        <w:b w:val="0"/>
        <w:i w:val="0"/>
        <w:color w:val="595959"/>
        <w:sz w:val="15"/>
      </w:rPr>
      <w:t xml:space="preserve">Estudio de gestión de riesgos en la ejecución de obra - SM-107 Tingo de Ponasa - Shamboyacu - CUI N.° 2673852   |   Página </w:t>
    </w:r>
    <w:r>
      <w:rPr>
        <w:rFonts w:ascii="Arial" w:hAnsi="Arial" w:cs="Arial"/>
        <w:b w:val="0"/>
        <w:i w:val="0"/>
        <w:sz w:val="15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Arial" w:hAnsi="Arial" w:cs="Arial"/>
        <w:b w:val="0"/>
        <w:i w:val="0"/>
        <w:color w:val="595959"/>
        <w:sz w:val="15"/>
      </w:rPr>
      <w:t xml:space="preserve">Estudio de gestión de riesgos en la ejecución de obra - SM-107 Tingo de Ponasa - Shamboyacu - CUI N.° 2673852   |   Página </w:t>
    </w:r>
    <w:r>
      <w:rPr>
        <w:rFonts w:ascii="Arial" w:hAnsi="Arial" w:cs="Arial"/>
        <w:b w:val="0"/>
        <w:i w:val="0"/>
        <w:sz w:val="15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footer" Target="footer1.xml"/><Relationship Id="rId1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