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por fuera del cerco perimetral proyectado, dentro del predio, con su eje a 0.475 m del paramento del cerco y junta de tecnopor de 1" entre el muro y el cimiento. La losa superior queda al ras del piso terminado del frente (+261.15 msnm) en toda su longitud. En la progresiva 0+100.90 (registro RV-11) el trazo deja de seguir al cerco y entra perpendicular al lindero hasta la cara este de la caja CL (0+105.29), cruzando el cerco proyectado en 0+102.11, donde se deja un paso de 0.95 m.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el resto del colector queda bajo piso exterior con cargas peatonales. Las coordenadas UTM WGS84 18S de la lámina DP-01 están en el mismo sistema del tramo del Hogar de Refugio y son referenciales; el trazo se replantea en obra desde el cerco y desde la caja CL.</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0+006.24</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0+019.87</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0+028.59</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0+037.30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0+046.02</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0+056.79</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0+067.56</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0+078.33</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0+089.61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13.00</w:t>
            </w:r>
          </w:p>
        </w:tc>
        <w:tc>
          <w:tcPr>
            <w:tcW w:type="dxa" w:w="1134"/>
          </w:tcPr>
          <w:p>
            <w:pPr>
              <w:jc w:val="center"/>
            </w:pPr>
            <w:r/>
            <w:r>
              <w:rPr>
                <w:rFonts w:ascii="Arial Narrow" w:hAnsi="Arial Narrow" w:cs="Arial Narrow"/>
                <w:b w:val="0"/>
                <w:i w:val="0"/>
                <w:sz w:val="18"/>
              </w:rPr>
              <w:t>0.130</w:t>
            </w:r>
          </w:p>
        </w:tc>
        <w:tc>
          <w:tcPr>
            <w:tcW w:type="dxa" w:w="1020"/>
          </w:tcPr>
          <w:p>
            <w:pPr>
              <w:jc w:val="center"/>
            </w:pPr>
            <w:r/>
            <w:r>
              <w:rPr>
                <w:rFonts w:ascii="Arial Narrow" w:hAnsi="Arial Narrow" w:cs="Arial Narrow"/>
                <w:b w:val="0"/>
                <w:i w:val="0"/>
                <w:sz w:val="18"/>
              </w:rPr>
              <w:t>33.6</w:t>
            </w:r>
          </w:p>
        </w:tc>
        <w:tc>
          <w:tcPr>
            <w:tcW w:type="dxa" w:w="1361"/>
          </w:tcPr>
          <w:p>
            <w:pPr>
              <w:jc w:val="center"/>
            </w:pPr>
            <w:r/>
            <w:r>
              <w:rPr>
                <w:rFonts w:ascii="Arial Narrow" w:hAnsi="Arial Narrow" w:cs="Arial Narrow"/>
                <w:b w:val="0"/>
                <w:i w:val="0"/>
                <w:sz w:val="18"/>
              </w:rPr>
              <w:t>0+006.24</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18.40</w:t>
            </w:r>
          </w:p>
        </w:tc>
        <w:tc>
          <w:tcPr>
            <w:tcW w:type="dxa" w:w="1134"/>
          </w:tcPr>
          <w:p>
            <w:pPr>
              <w:jc w:val="center"/>
            </w:pPr>
            <w:r/>
            <w:r>
              <w:rPr>
                <w:rFonts w:ascii="Arial Narrow" w:hAnsi="Arial Narrow" w:cs="Arial Narrow"/>
                <w:b w:val="0"/>
                <w:i w:val="0"/>
                <w:sz w:val="18"/>
              </w:rPr>
              <w:t>0.184</w:t>
            </w:r>
          </w:p>
        </w:tc>
        <w:tc>
          <w:tcPr>
            <w:tcW w:type="dxa" w:w="1020"/>
          </w:tcPr>
          <w:p>
            <w:pPr>
              <w:jc w:val="center"/>
            </w:pPr>
            <w:r/>
            <w:r>
              <w:rPr>
                <w:rFonts w:ascii="Arial Narrow" w:hAnsi="Arial Narrow" w:cs="Arial Narrow"/>
                <w:b w:val="0"/>
                <w:i w:val="0"/>
                <w:sz w:val="18"/>
              </w:rPr>
              <w:t>47.7</w:t>
            </w:r>
          </w:p>
        </w:tc>
        <w:tc>
          <w:tcPr>
            <w:tcW w:type="dxa" w:w="1361"/>
          </w:tcPr>
          <w:p>
            <w:pPr>
              <w:jc w:val="center"/>
            </w:pPr>
            <w:r/>
            <w:r>
              <w:rPr>
                <w:rFonts w:ascii="Arial Narrow" w:hAnsi="Arial Narrow" w:cs="Arial Narrow"/>
                <w:b w:val="0"/>
                <w:i w:val="0"/>
                <w:sz w:val="18"/>
              </w:rPr>
              <w:t>0+019.87</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0+046.02</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0+078.33</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0+006.24</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260.181</w:t>
            </w:r>
          </w:p>
        </w:tc>
        <w:tc>
          <w:tcPr>
            <w:tcW w:type="dxa" w:w="907"/>
          </w:tcPr>
          <w:p>
            <w:pPr>
              <w:jc w:val="center"/>
            </w:pPr>
            <w:r/>
            <w:r>
              <w:rPr>
                <w:rFonts w:ascii="Arial Narrow" w:hAnsi="Arial Narrow" w:cs="Arial Narrow"/>
                <w:b w:val="0"/>
                <w:i w:val="0"/>
                <w:sz w:val="16"/>
              </w:rPr>
              <w:t>0.237</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27</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0.14</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0+019.87</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0.266</w:t>
            </w:r>
          </w:p>
        </w:tc>
        <w:tc>
          <w:tcPr>
            <w:tcW w:type="dxa" w:w="1077"/>
          </w:tcPr>
          <w:p>
            <w:pPr>
              <w:jc w:val="center"/>
            </w:pPr>
            <w:r/>
            <w:r>
              <w:rPr>
                <w:rFonts w:ascii="Arial Narrow" w:hAnsi="Arial Narrow" w:cs="Arial Narrow"/>
                <w:b w:val="0"/>
                <w:i w:val="0"/>
                <w:sz w:val="16"/>
              </w:rPr>
              <w:t>260.406</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0.32</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0.266</w:t>
            </w:r>
          </w:p>
        </w:tc>
        <w:tc>
          <w:tcPr>
            <w:tcW w:type="dxa" w:w="1077"/>
          </w:tcPr>
          <w:p>
            <w:pPr>
              <w:jc w:val="center"/>
            </w:pPr>
            <w:r/>
            <w:r>
              <w:rPr>
                <w:rFonts w:ascii="Arial Narrow" w:hAnsi="Arial Narrow" w:cs="Arial Narrow"/>
                <w:b w:val="0"/>
                <w:i w:val="0"/>
                <w:sz w:val="16"/>
              </w:rPr>
              <w:t>260.406</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0.32</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0.291</w:t>
            </w:r>
          </w:p>
        </w:tc>
        <w:tc>
          <w:tcPr>
            <w:tcW w:type="dxa" w:w="1077"/>
          </w:tcPr>
          <w:p>
            <w:pPr>
              <w:jc w:val="center"/>
            </w:pPr>
            <w:r/>
            <w:r>
              <w:rPr>
                <w:rFonts w:ascii="Arial Narrow" w:hAnsi="Arial Narrow" w:cs="Arial Narrow"/>
                <w:b w:val="0"/>
                <w:i w:val="0"/>
                <w:sz w:val="16"/>
              </w:rPr>
              <w:t>260.401</w:t>
            </w:r>
          </w:p>
        </w:tc>
        <w:tc>
          <w:tcPr>
            <w:tcW w:type="dxa" w:w="794"/>
          </w:tcPr>
          <w:p>
            <w:pPr>
              <w:jc w:val="center"/>
            </w:pPr>
            <w:r/>
            <w:r>
              <w:rPr>
                <w:rFonts w:ascii="Arial Narrow" w:hAnsi="Arial Narrow" w:cs="Arial Narrow"/>
                <w:b w:val="0"/>
                <w:i w:val="0"/>
                <w:sz w:val="16"/>
              </w:rPr>
              <w:t>0.47</w:t>
            </w:r>
          </w:p>
        </w:tc>
        <w:tc>
          <w:tcPr>
            <w:tcW w:type="dxa" w:w="794"/>
          </w:tcPr>
          <w:p>
            <w:pPr>
              <w:jc w:val="center"/>
            </w:pPr>
            <w:r/>
            <w:r>
              <w:rPr>
                <w:rFonts w:ascii="Arial Narrow" w:hAnsi="Arial Narrow" w:cs="Arial Narrow"/>
                <w:b w:val="0"/>
                <w:i w:val="0"/>
                <w:sz w:val="16"/>
              </w:rPr>
              <w:t>0.28</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260.397</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0+046.02</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0.309</w:t>
            </w:r>
          </w:p>
        </w:tc>
        <w:tc>
          <w:tcPr>
            <w:tcW w:type="dxa" w:w="1077"/>
          </w:tcPr>
          <w:p>
            <w:pPr>
              <w:jc w:val="center"/>
            </w:pPr>
            <w:r/>
            <w:r>
              <w:rPr>
                <w:rFonts w:ascii="Arial Narrow" w:hAnsi="Arial Narrow" w:cs="Arial Narrow"/>
                <w:b w:val="0"/>
                <w:i w:val="0"/>
                <w:sz w:val="16"/>
              </w:rPr>
              <w:t>260.371</w:t>
            </w:r>
          </w:p>
        </w:tc>
        <w:tc>
          <w:tcPr>
            <w:tcW w:type="dxa" w:w="794"/>
          </w:tcPr>
          <w:p>
            <w:pPr>
              <w:jc w:val="center"/>
            </w:pPr>
            <w:r/>
            <w:r>
              <w:rPr>
                <w:rFonts w:ascii="Arial Narrow" w:hAnsi="Arial Narrow" w:cs="Arial Narrow"/>
                <w:b w:val="0"/>
                <w:i w:val="0"/>
                <w:sz w:val="16"/>
              </w:rPr>
              <w:t>0.81</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0.315</w:t>
            </w:r>
          </w:p>
        </w:tc>
        <w:tc>
          <w:tcPr>
            <w:tcW w:type="dxa" w:w="1077"/>
          </w:tcPr>
          <w:p>
            <w:pPr>
              <w:jc w:val="center"/>
            </w:pPr>
            <w:r/>
            <w:r>
              <w:rPr>
                <w:rFonts w:ascii="Arial Narrow" w:hAnsi="Arial Narrow" w:cs="Arial Narrow"/>
                <w:b w:val="0"/>
                <w:i w:val="0"/>
                <w:sz w:val="16"/>
              </w:rPr>
              <w:t>260.365</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0.69</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0.332</w:t>
            </w:r>
          </w:p>
        </w:tc>
        <w:tc>
          <w:tcPr>
            <w:tcW w:type="dxa" w:w="1077"/>
          </w:tcPr>
          <w:p>
            <w:pPr>
              <w:jc w:val="center"/>
            </w:pPr>
            <w:r/>
            <w:r>
              <w:rPr>
                <w:rFonts w:ascii="Arial Narrow" w:hAnsi="Arial Narrow" w:cs="Arial Narrow"/>
                <w:b w:val="0"/>
                <w:i w:val="0"/>
                <w:sz w:val="16"/>
              </w:rPr>
              <w:t>260.352</w:t>
            </w:r>
          </w:p>
        </w:tc>
        <w:tc>
          <w:tcPr>
            <w:tcW w:type="dxa" w:w="794"/>
          </w:tcPr>
          <w:p>
            <w:pPr>
              <w:jc w:val="center"/>
            </w:pPr>
            <w:r/>
            <w:r>
              <w:rPr>
                <w:rFonts w:ascii="Arial Narrow" w:hAnsi="Arial Narrow" w:cs="Arial Narrow"/>
                <w:b w:val="0"/>
                <w:i w:val="0"/>
                <w:sz w:val="16"/>
              </w:rPr>
              <w:t>0.75</w:t>
            </w:r>
          </w:p>
        </w:tc>
        <w:tc>
          <w:tcPr>
            <w:tcW w:type="dxa" w:w="794"/>
          </w:tcPr>
          <w:p>
            <w:pPr>
              <w:jc w:val="center"/>
            </w:pPr>
            <w:r/>
            <w:r>
              <w:rPr>
                <w:rFonts w:ascii="Arial Narrow" w:hAnsi="Arial Narrow" w:cs="Arial Narrow"/>
                <w:b w:val="0"/>
                <w:i w:val="0"/>
                <w:sz w:val="16"/>
              </w:rPr>
              <w:t>0.42</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0.351</w:t>
            </w:r>
          </w:p>
        </w:tc>
        <w:tc>
          <w:tcPr>
            <w:tcW w:type="dxa" w:w="1077"/>
          </w:tcPr>
          <w:p>
            <w:pPr>
              <w:jc w:val="center"/>
            </w:pPr>
            <w:r/>
            <w:r>
              <w:rPr>
                <w:rFonts w:ascii="Arial Narrow" w:hAnsi="Arial Narrow" w:cs="Arial Narrow"/>
                <w:b w:val="0"/>
                <w:i w:val="0"/>
                <w:sz w:val="16"/>
              </w:rPr>
              <w:t>260.341</w:t>
            </w:r>
          </w:p>
        </w:tc>
        <w:tc>
          <w:tcPr>
            <w:tcW w:type="dxa" w:w="794"/>
          </w:tcPr>
          <w:p>
            <w:pPr>
              <w:jc w:val="center"/>
            </w:pPr>
            <w:r/>
            <w:r>
              <w:rPr>
                <w:rFonts w:ascii="Arial Narrow" w:hAnsi="Arial Narrow" w:cs="Arial Narrow"/>
                <w:b w:val="0"/>
                <w:i w:val="0"/>
                <w:sz w:val="16"/>
              </w:rPr>
              <w:t>0.71</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0+078.33</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259.965</w:t>
            </w:r>
          </w:p>
        </w:tc>
        <w:tc>
          <w:tcPr>
            <w:tcW w:type="dxa" w:w="907"/>
          </w:tcPr>
          <w:p>
            <w:pPr>
              <w:jc w:val="center"/>
            </w:pPr>
            <w:r/>
            <w:r>
              <w:rPr>
                <w:rFonts w:ascii="Arial Narrow" w:hAnsi="Arial Narrow" w:cs="Arial Narrow"/>
                <w:b w:val="0"/>
                <w:i w:val="0"/>
                <w:sz w:val="16"/>
              </w:rPr>
              <w:t>0.326</w:t>
            </w:r>
          </w:p>
        </w:tc>
        <w:tc>
          <w:tcPr>
            <w:tcW w:type="dxa" w:w="1077"/>
          </w:tcPr>
          <w:p>
            <w:pPr>
              <w:jc w:val="center"/>
            </w:pPr>
            <w:r/>
            <w:r>
              <w:rPr>
                <w:rFonts w:ascii="Arial Narrow" w:hAnsi="Arial Narrow" w:cs="Arial Narrow"/>
                <w:b w:val="0"/>
                <w:i w:val="0"/>
                <w:sz w:val="16"/>
              </w:rPr>
              <w:t>260.291</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0.76</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1.54 m/s. Como el caudal crece a lo largo del tramo, cada tramo entre empalmes se verifica con su propio caudal: en los tramos de cabecera (33.6 y 81.3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(33.6 L/s)</w:t>
            </w:r>
          </w:p>
        </w:tc>
        <w:tc>
          <w:tcPr>
            <w:tcW w:type="dxa" w:w="907"/>
          </w:tcPr>
          <w:p>
            <w:pPr>
              <w:jc w:val="center"/>
            </w:pPr>
            <w:r/>
            <w:r>
              <w:rPr>
                <w:rFonts w:ascii="Arial Narrow" w:hAnsi="Arial Narrow" w:cs="Arial Narrow"/>
                <w:b w:val="0"/>
                <w:i w:val="0"/>
                <w:sz w:val="18"/>
              </w:rPr>
              <w:t>33.6</w:t>
            </w:r>
          </w:p>
        </w:tc>
        <w:tc>
          <w:tcPr>
            <w:tcW w:type="dxa" w:w="907"/>
          </w:tcPr>
          <w:p>
            <w:pPr>
              <w:jc w:val="center"/>
            </w:pPr>
            <w:r/>
            <w:r>
              <w:rPr>
                <w:rFonts w:ascii="Arial Narrow" w:hAnsi="Arial Narrow" w:cs="Arial Narrow"/>
                <w:b w:val="0"/>
                <w:i w:val="0"/>
                <w:sz w:val="18"/>
              </w:rPr>
              <w:t>0.091</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(0.24, 0.09, 0.24, 3.12 y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0+006.24</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33.6</w:t>
            </w:r>
          </w:p>
        </w:tc>
        <w:tc>
          <w:tcPr>
            <w:tcW w:type="dxa" w:w="1247"/>
          </w:tcPr>
          <w:p>
            <w:pPr>
              <w:jc w:val="center"/>
            </w:pPr>
            <w:r/>
            <w:r>
              <w:rPr>
                <w:rFonts w:ascii="Arial Narrow" w:hAnsi="Arial Narrow" w:cs="Arial Narrow"/>
                <w:b w:val="0"/>
                <w:i w:val="0"/>
                <w:sz w:val="18"/>
              </w:rPr>
              <w:t>0.24</w:t>
            </w:r>
          </w:p>
        </w:tc>
        <w:tc>
          <w:tcPr>
            <w:tcW w:type="dxa" w:w="1361"/>
          </w:tcPr>
          <w:p>
            <w:pPr>
              <w:jc w:val="center"/>
            </w:pPr>
            <w:r/>
            <w:r>
              <w:rPr>
                <w:rFonts w:ascii="Arial Narrow" w:hAnsi="Arial Narrow" w:cs="Arial Narrow"/>
                <w:b w:val="0"/>
                <w:i w:val="0"/>
                <w:sz w:val="18"/>
              </w:rPr>
              <w:t>260.419</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0+019.87</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47.7</w:t>
            </w:r>
          </w:p>
        </w:tc>
        <w:tc>
          <w:tcPr>
            <w:tcW w:type="dxa" w:w="1247"/>
          </w:tcPr>
          <w:p>
            <w:pPr>
              <w:jc w:val="center"/>
            </w:pPr>
            <w:r/>
            <w:r>
              <w:rPr>
                <w:rFonts w:ascii="Arial Narrow" w:hAnsi="Arial Narrow" w:cs="Arial Narrow"/>
                <w:b w:val="0"/>
                <w:i w:val="0"/>
                <w:sz w:val="18"/>
              </w:rPr>
              <w:t>0.09</w:t>
            </w:r>
          </w:p>
        </w:tc>
        <w:tc>
          <w:tcPr>
            <w:tcW w:type="dxa" w:w="1361"/>
          </w:tcPr>
          <w:p>
            <w:pPr>
              <w:jc w:val="center"/>
            </w:pPr>
            <w:r/>
            <w:r>
              <w:rPr>
                <w:rFonts w:ascii="Arial Narrow" w:hAnsi="Arial Narrow" w:cs="Arial Narrow"/>
                <w:b w:val="0"/>
                <w:i w:val="0"/>
                <w:sz w:val="18"/>
              </w:rPr>
              <w:t>260.406</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0+046.02</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0.24</w:t>
            </w:r>
          </w:p>
        </w:tc>
        <w:tc>
          <w:tcPr>
            <w:tcW w:type="dxa" w:w="1361"/>
          </w:tcPr>
          <w:p>
            <w:pPr>
              <w:jc w:val="center"/>
            </w:pPr>
            <w:r/>
            <w:r>
              <w:rPr>
                <w:rFonts w:ascii="Arial Narrow" w:hAnsi="Arial Narrow" w:cs="Arial Narrow"/>
                <w:b w:val="0"/>
                <w:i w:val="0"/>
                <w:sz w:val="18"/>
              </w:rPr>
              <w:t>260.371</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0+078.33</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3.12</w:t>
            </w:r>
          </w:p>
        </w:tc>
        <w:tc>
          <w:tcPr>
            <w:tcW w:type="dxa" w:w="1361"/>
          </w:tcPr>
          <w:p>
            <w:pPr>
              <w:jc w:val="center"/>
            </w:pPr>
            <w:r/>
            <w:r>
              <w:rPr>
                <w:rFonts w:ascii="Arial Narrow" w:hAnsi="Arial Narrow" w:cs="Arial Narrow"/>
                <w:b w:val="0"/>
                <w:i w:val="0"/>
                <w:sz w:val="18"/>
              </w:rPr>
              <w:t>260.291</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ras del piso terminado (+261.15 msnm), sin lloraderos; registros de limpieza (RV-01 a RV-11) a no más de 12 m, en cada llegada de cuneta y en el quiebre, fuera del cruce de camiones, con tapa de concreto armado de 0.68 × 0.68 × 0.08 m, contramarco de ángulo de 2" × 2" × 3/16" y marco de 1 ½" × 1 ½" × 1/8" (láminas DD-01 y DD-02).</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tecnopor de 1" entre el colector y el cerco, en el paso del cerco proyectado, con el piso adyacente y con la caja CL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juntas y empalmes,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 (ancho 1.40 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91.49</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47.03</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105.29</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14.21</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31.56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538.50</w:t>
            </w:r>
          </w:p>
        </w:tc>
      </w:tr>
      <w:tr>
        <w:tc>
          <w:tcPr>
            <w:tcW w:type="dxa" w:w="5669"/>
          </w:tcPr>
          <w:p>
            <w:pPr>
              <w:jc w:val="left"/>
            </w:pPr>
            <w:r/>
            <w:r>
              <w:rPr>
                <w:rFonts w:ascii="Arial Narrow" w:hAnsi="Arial Narrow" w:cs="Arial Narrow"/>
                <w:b w:val="0"/>
                <w:i w:val="0"/>
                <w:sz w:val="20"/>
              </w:rPr>
              <w:t>Acero de refuerzo fy = 4200 kg/cm² en el colector</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2523.84</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94.76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368.37</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11</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120.43</w:t>
            </w:r>
          </w:p>
        </w:tc>
      </w:tr>
      <w:tr>
        <w:tc>
          <w:tcPr>
            <w:tcW w:type="dxa" w:w="5669"/>
          </w:tcPr>
          <w:p>
            <w:pPr>
              <w:jc w:val="left"/>
            </w:pPr>
            <w:r/>
            <w:r>
              <w:rPr>
                <w:rFonts w:ascii="Arial Narrow" w:hAnsi="Arial Narrow" w:cs="Arial Narrow"/>
                <w:b w:val="0"/>
                <w:i w:val="0"/>
                <w:sz w:val="20"/>
              </w:rPr>
              <w:t>Empalmes de cunetas al colector</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4</w:t>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 los colectores vecinos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proyectado, sin invadir la via; paso en el cerco en el tramo de empalme</w:t>
            </w:r>
          </w:p>
        </w:tc>
        <w:tc>
          <w:tcPr>
            <w:tcW w:type="dxa" w:w="850"/>
          </w:tcPr>
          <w:p>
            <w:pPr>
              <w:jc w:val="center"/>
            </w:pPr>
            <w:r/>
            <w:r>
              <w:rPr>
                <w:rFonts w:ascii="Arial Narrow" w:hAnsi="Arial Narrow" w:cs="Arial Narrow"/>
                <w:b w:val="0"/>
                <w:i w:val="0"/>
                <w:sz w:val="16"/>
              </w:rPr>
              <w:t>eje a 0.475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el cerco (eje a 0.475 m) y desde la CL.</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