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171.41</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104.55</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99.02</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 (capacidad portante del EMS)</w:t>
            </w:r>
          </w:p>
        </w:tc>
        <w:tc>
          <w:tcPr>
            <w:tcW w:type="dxa" w:w="2041"/>
          </w:tcPr>
          <w:p>
            <w:pPr>
              <w:jc w:val="center"/>
            </w:pPr>
            <w:r/>
            <w:r>
              <w:rPr>
                <w:rFonts w:ascii="Arial Narrow" w:hAnsi="Arial Narrow" w:cs="Arial Narrow"/>
                <w:b w:val="0"/>
                <w:i w:val="0"/>
                <w:sz w:val="16"/>
              </w:rPr>
              <w:t>q &lt;= capacidad admisible del EMS (verificar)</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(&lt;= 1.0 kg/cm2, confirmar con EMS)</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Tres de ellos dependen de datos de otros expedientes o estudios que deben confirmarse antes de la firma; se listan a continuación para que queden registrados de manera explícita y no como supuestos implícitos del diseño.</w:t>
      </w:r>
    </w:p>
    <w:p>
      <w:pPr>
        <w:pStyle w:val="Ttulo2"/>
        <w:numPr>
          <w:ilvl w:val="1"/>
          <w:numId w:val="1"/>
        </w:numPr>
        <w:spacing w:line="360" w:lineRule="auto"/>
      </w:pPr>
      <w:r>
        <w:rPr>
          <w:rFonts w:ascii="Arial Narrow" w:hAnsi="Arial Narrow" w:cs="Arial Narrow"/>
          <w:i w:val="0"/>
        </w:rPr>
        <w:t>Datos externos por confirmar antes de la firma</w:t>
      </w:r>
    </w:p>
    <w:p>
      <w:pPr>
        <w:pStyle w:val="Prrafodelista"/>
        <w:spacing w:line="360" w:lineRule="auto"/>
        <w:ind w:left="1417" w:hanging="283"/>
        <w:jc w:val="both"/>
      </w:pPr>
      <w:r>
        <w:rPr>
          <w:rFonts w:ascii="Arial Narrow" w:hAnsi="Arial Narrow" w:cs="Arial Narrow"/>
          <w:b w:val="0"/>
          <w:i w:val="0"/>
          <w:sz w:val="24"/>
        </w:rPr>
        <w:t>•  1. Cota de fondo y ancho de llegada del colector del CAR Varones (CUI 2705619) en la caja CL: se asume 260.18 msnm y ventana 0.80 x 0.60 (referenciales).</w:t>
      </w:r>
    </w:p>
    <w:p>
      <w:pPr>
        <w:pStyle w:val="Prrafodelista"/>
        <w:spacing w:line="360" w:lineRule="auto"/>
        <w:ind w:left="1417" w:hanging="283"/>
        <w:jc w:val="both"/>
      </w:pPr>
      <w:r>
        <w:rPr>
          <w:rFonts w:ascii="Arial Narrow" w:hAnsi="Arial Narrow" w:cs="Arial Narrow"/>
          <w:b w:val="0"/>
          <w:i w:val="0"/>
          <w:sz w:val="24"/>
        </w:rPr>
        <w:t>•  2. Caudal del CAR Varones (258.7 L/s): dato de su memoria de calculo, no validado en este tramo.</w:t>
      </w:r>
    </w:p>
    <w:p>
      <w:pPr>
        <w:pStyle w:val="Prrafodelista"/>
        <w:spacing w:line="360" w:lineRule="auto"/>
        <w:ind w:left="1417" w:hanging="283"/>
        <w:jc w:val="both"/>
      </w:pPr>
      <w:r>
        <w:rPr>
          <w:rFonts w:ascii="Arial Narrow" w:hAnsi="Arial Narrow" w:cs="Arial Narrow"/>
          <w:b w:val="0"/>
          <w:i w:val="0"/>
          <w:sz w:val="24"/>
        </w:rPr>
        <w:t>•  3. Capacidad portante del suelo (EMS del proyecto): la presion transmitida es 0.33 kg/cm2.</w:t>
      </w:r>
    </w:p>
    <w:p>
      <w:pPr>
        <w:pStyle w:val="Prrafodelista"/>
        <w:spacing w:line="360" w:lineRule="auto"/>
        <w:ind w:left="1417" w:hanging="283"/>
        <w:jc w:val="both"/>
      </w:pPr>
      <w:r>
        <w:rPr>
          <w:rFonts w:ascii="Arial Narrow" w:hAnsi="Arial Narrow" w:cs="Arial Narrow"/>
          <w:b w:val="0"/>
          <w:i w:val="0"/>
          <w:sz w:val="24"/>
        </w:rPr>
        <w:t>•  4. Coordenadas UTM del trazo: referenciales, obtenidas del R-01 del CAR Mujeres y del rumbo del lindero; verificar en el replanteo.</w:t>
      </w:r>
    </w:p>
    <w:p>
      <w:pPr>
        <w:pStyle w:val="Prrafodelista"/>
        <w:spacing w:line="360" w:lineRule="auto"/>
        <w:ind w:left="1417" w:hanging="283"/>
        <w:jc w:val="both"/>
      </w:pPr>
      <w:r>
        <w:rPr>
          <w:rFonts w:ascii="Arial Narrow" w:hAnsi="Arial Narrow" w:cs="Arial Narrow"/>
          <w:b w:val="0"/>
          <w:i w:val="0"/>
          <w:sz w:val="24"/>
        </w:rPr>
        <w:t>•  5. Cotas de fondo de las cunetas de arquitectura al llegar al cerco (perfiles 01 a 12 del plano PLANTA GENERAL REFUGIO 03-10-2026).</w:t>
      </w:r>
    </w:p>
    <w:p>
      <w:pPr>
        <w:spacing w:line="360" w:lineRule="auto" w:after="120"/>
        <w:ind w:left="992"/>
        <w:jc w:val="both"/>
      </w:pPr>
      <w:r>
        <w:rPr>
          <w:rFonts w:ascii="Arial Narrow" w:hAnsi="Arial Narrow" w:cs="Arial Narrow"/>
          <w:b w:val="0"/>
          <w:i w:val="0"/>
          <w:sz w:val="24"/>
        </w:rPr>
        <w:t>Ninguno de estos datos altera la sección ni el armado del colector: la cota de llegada del aporte externo sólo cambia la altura de caída en la caja de llegada, cuyo colchón de agua tiene margen; la capacidad portante se compara con una presión de contacto baja; y las coordenadas se ajustan en el replanteo sobre el mismo trazo pegado al cerco.</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