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bajo el piso exterior del frente, que en el CAR Varones no tiene cerco perimetral, con su eje a 0.475 m de la línea de referencia del frente (límite de las áreas exteriores del plano de arquitectura). La losa superior queda al ras del piso terminado (+261.15 msnm) en toda su longitud, con junta de tecnopor de 1" contra el piso adyacente a ambos lados.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el resto del colector queda bajo piso exterior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0+006.30</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0+013.16</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13.00</w:t>
            </w:r>
          </w:p>
        </w:tc>
        <w:tc>
          <w:tcPr>
            <w:tcW w:type="dxa" w:w="1134"/>
          </w:tcPr>
          <w:p>
            <w:pPr>
              <w:jc w:val="center"/>
            </w:pPr>
            <w:r/>
            <w:r>
              <w:rPr>
                <w:rFonts w:ascii="Arial Narrow" w:hAnsi="Arial Narrow" w:cs="Arial Narrow"/>
                <w:b w:val="0"/>
                <w:i w:val="0"/>
                <w:sz w:val="18"/>
              </w:rPr>
              <w:t>0.130</w:t>
            </w:r>
          </w:p>
        </w:tc>
        <w:tc>
          <w:tcPr>
            <w:tcW w:type="dxa" w:w="1020"/>
          </w:tcPr>
          <w:p>
            <w:pPr>
              <w:jc w:val="center"/>
            </w:pPr>
            <w:r/>
            <w:r>
              <w:rPr>
                <w:rFonts w:ascii="Arial Narrow" w:hAnsi="Arial Narrow" w:cs="Arial Narrow"/>
                <w:b w:val="0"/>
                <w:i w:val="0"/>
                <w:sz w:val="18"/>
              </w:rPr>
              <w:t>33.6</w:t>
            </w:r>
          </w:p>
        </w:tc>
        <w:tc>
          <w:tcPr>
            <w:tcW w:type="dxa" w:w="1361"/>
          </w:tcPr>
          <w:p>
            <w:pPr>
              <w:jc w:val="center"/>
            </w:pPr>
            <w:r/>
            <w:r>
              <w:rPr>
                <w:rFonts w:ascii="Arial Narrow" w:hAnsi="Arial Narrow" w:cs="Arial Narrow"/>
                <w:b w:val="0"/>
                <w:i w:val="0"/>
                <w:sz w:val="18"/>
              </w:rPr>
              <w:t>0+006.30</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18.40</w:t>
            </w:r>
          </w:p>
        </w:tc>
        <w:tc>
          <w:tcPr>
            <w:tcW w:type="dxa" w:w="1134"/>
          </w:tcPr>
          <w:p>
            <w:pPr>
              <w:jc w:val="center"/>
            </w:pPr>
            <w:r/>
            <w:r>
              <w:rPr>
                <w:rFonts w:ascii="Arial Narrow" w:hAnsi="Arial Narrow" w:cs="Arial Narrow"/>
                <w:b w:val="0"/>
                <w:i w:val="0"/>
                <w:sz w:val="18"/>
              </w:rPr>
              <w:t>0.184</w:t>
            </w:r>
          </w:p>
        </w:tc>
        <w:tc>
          <w:tcPr>
            <w:tcW w:type="dxa" w:w="1020"/>
          </w:tcPr>
          <w:p>
            <w:pPr>
              <w:jc w:val="center"/>
            </w:pPr>
            <w:r/>
            <w:r>
              <w:rPr>
                <w:rFonts w:ascii="Arial Narrow" w:hAnsi="Arial Narrow" w:cs="Arial Narrow"/>
                <w:b w:val="0"/>
                <w:i w:val="0"/>
                <w:sz w:val="18"/>
              </w:rPr>
              <w:t>47.7</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0+006.30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260.181</w:t>
            </w:r>
          </w:p>
        </w:tc>
        <w:tc>
          <w:tcPr>
            <w:tcW w:type="dxa" w:w="907"/>
          </w:tcPr>
          <w:p>
            <w:pPr>
              <w:jc w:val="center"/>
            </w:pPr>
            <w:r/>
            <w:r>
              <w:rPr>
                <w:rFonts w:ascii="Arial Narrow" w:hAnsi="Arial Narrow" w:cs="Arial Narrow"/>
                <w:b w:val="0"/>
                <w:i w:val="0"/>
                <w:sz w:val="16"/>
              </w:rPr>
              <w:t>0.239</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27</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0.22</w:t>
            </w:r>
          </w:p>
        </w:tc>
        <w:tc>
          <w:tcPr>
            <w:tcW w:type="dxa" w:w="794"/>
          </w:tcPr>
          <w:p>
            <w:pPr>
              <w:jc w:val="center"/>
            </w:pPr>
            <w:r/>
            <w:r>
              <w:rPr>
                <w:rFonts w:ascii="Arial Narrow" w:hAnsi="Arial Narrow" w:cs="Arial Narrow"/>
                <w:b w:val="0"/>
                <w:i w:val="0"/>
                <w:sz w:val="16"/>
              </w:rPr>
              <w:t>0.14</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0.20</w:t>
            </w:r>
          </w:p>
        </w:tc>
        <w:tc>
          <w:tcPr>
            <w:tcW w:type="dxa" w:w="794"/>
          </w:tcPr>
          <w:p>
            <w:pPr>
              <w:jc w:val="center"/>
            </w:pPr>
            <w:r/>
            <w:r>
              <w:rPr>
                <w:rFonts w:ascii="Arial Narrow" w:hAnsi="Arial Narrow" w:cs="Arial Narrow"/>
                <w:b w:val="0"/>
                <w:i w:val="0"/>
                <w:sz w:val="16"/>
              </w:rPr>
              <w:t>0.12</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1.54 m/s. Como el caudal crece a lo largo del tramo, cada tramo entre empalmes se verifica con su propio caudal: en los tramos de cabecera (33.6 y 81.3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(33.6 L/s)</w:t>
            </w:r>
          </w:p>
        </w:tc>
        <w:tc>
          <w:tcPr>
            <w:tcW w:type="dxa" w:w="907"/>
          </w:tcPr>
          <w:p>
            <w:pPr>
              <w:jc w:val="center"/>
            </w:pPr>
            <w:r/>
            <w:r>
              <w:rPr>
                <w:rFonts w:ascii="Arial Narrow" w:hAnsi="Arial Narrow" w:cs="Arial Narrow"/>
                <w:b w:val="0"/>
                <w:i w:val="0"/>
                <w:sz w:val="18"/>
              </w:rPr>
              <w:t>33.6</w:t>
            </w:r>
          </w:p>
        </w:tc>
        <w:tc>
          <w:tcPr>
            <w:tcW w:type="dxa" w:w="907"/>
          </w:tcPr>
          <w:p>
            <w:pPr>
              <w:jc w:val="center"/>
            </w:pPr>
            <w:r/>
            <w:r>
              <w:rPr>
                <w:rFonts w:ascii="Arial Narrow" w:hAnsi="Arial Narrow" w:cs="Arial Narrow"/>
                <w:b w:val="0"/>
                <w:i w:val="0"/>
                <w:sz w:val="18"/>
              </w:rPr>
              <w:t>0.091</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(0.25,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0+006.30</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33.6</w:t>
            </w:r>
          </w:p>
        </w:tc>
        <w:tc>
          <w:tcPr>
            <w:tcW w:type="dxa" w:w="1247"/>
          </w:tcPr>
          <w:p>
            <w:pPr>
              <w:jc w:val="center"/>
            </w:pPr>
            <w:r/>
            <w:r>
              <w:rPr>
                <w:rFonts w:ascii="Arial Narrow" w:hAnsi="Arial Narrow" w:cs="Arial Narrow"/>
                <w:b w:val="0"/>
                <w:i w:val="0"/>
                <w:sz w:val="18"/>
              </w:rPr>
              <w:t>0.25</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47.7</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ras del piso terminado (+261.15 msnm), sin lloraderos; registros de limpieza (RV-01 a RV-11) a no más de 12 m, en cada llegada de cuneta y en el quiebre, fuera del cruce de camiones, con tapa de concreto armado de 0.68 × 0.68 × 0.08 m, contramarco de ángulo de 2" × 2" × 3/16"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tecnopor de 1" entre la losa y el piso adyacente a ambos lados y en el contacto con la caja CL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juntas y empalmes,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91.49</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47.03</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14.21</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31.56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538.50</w:t>
            </w:r>
          </w:p>
        </w:tc>
      </w:tr>
      <w:tr>
        <w:tc>
          <w:tcPr>
            <w:tcW w:type="dxa" w:w="5669"/>
          </w:tcPr>
          <w:p>
            <w:pPr>
              <w:jc w:val="left"/>
            </w:pPr>
            <w:r/>
            <w:r>
              <w:rPr>
                <w:rFonts w:ascii="Arial Narrow" w:hAnsi="Arial Narrow" w:cs="Arial Narrow"/>
                <w:b w:val="0"/>
                <w:i w:val="0"/>
                <w:sz w:val="20"/>
              </w:rPr>
              <w:t>Acero de refuerzo fy = 4200 kg/cm² en el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368.37</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120.43</w:t>
            </w:r>
          </w:p>
        </w:tc>
      </w:tr>
      <w:tr>
        <w:tc>
          <w:tcPr>
            <w:tcW w:type="dxa" w:w="5669"/>
          </w:tcPr>
          <w:p>
            <w:pPr>
              <w:jc w:val="left"/>
            </w:pPr>
            <w:r/>
            <w:r>
              <w:rPr>
                <w:rFonts w:ascii="Arial Narrow" w:hAnsi="Arial Narrow" w:cs="Arial Narrow"/>
                <w:b w:val="0"/>
                <w:i w:val="0"/>
                <w:sz w:val="20"/>
              </w:rPr>
              <w:t>Empalmes de cunetas al colector</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 los colectores vecinos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