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y sellador asfáltico entre el colector pluvial frontal del Hogar de Refugio Temporal y las estructuras vecinas: cimiento del cerco existente (plancha de 0.90 m de altura) y borde de la losa superior con el piso adyacente (plancha de 0.10 m), de modo que cada estructura trabaje en forma independiente. En la cara superior de la junta se coloca sellador asfáltico de 1" x 2" (asfalto líquido RC-250 + arena gruesa), según la lámina DD-03.</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y de 0.10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y la tira de 0.10 m contra el borde de la losa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Mantenerlas verticales y continuas;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cerco o el piso;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y sellada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2026-10-15T00:08:38.273Z</dcterms:created>
  <dcterms:modified xsi:type="dcterms:W3CDTF">2026-10-15T00:08:38.273Z</dcterms:modified>
</cp:coreProperties>
</file>

<file path=docProps/custom.xml><?xml version="1.0" encoding="utf-8"?>
<Properties xmlns="http://schemas.openxmlformats.org/officeDocument/2006/custom-properties" xmlns:vt="http://schemas.openxmlformats.org/officeDocument/2006/docPropsVTypes"/>
</file>