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DESCRIPCIÓN DEL PROYECTO</w:t>
      </w:r>
    </w:p>
    <w:p>
      <w:pPr>
        <w:pStyle w:val="Heading2"/>
      </w:pPr>
      <w:r>
        <w:t>Generalidades</w:t>
      </w:r>
    </w:p>
    <w:p>
      <w:pPr>
        <w:spacing w:after="120"/>
        <w:jc w:val="both"/>
      </w:pPr>
      <w:r>
        <w:rPr>
          <w:b w:val="0"/>
        </w:rPr>
        <w:t>El proyecto “Creación del Servicio de Protección Integral a Niñas, Niños y Adolescentes sin Cuidados Parentales o en Riesgo de Perderlos en Centro de Acogida Residencial - Mujeres, distrito de Morales, provincia de San Martín, departamento de San Martín”, con Código Único de Inversiones N.° 2717013, comprende la construcción de un Centro de Acogida Residencial (CAR) para mujeres en un terreno de 6,999.98 m² y 336.89 m de perímetro, que forma parte del predio matriz denominado Predio Rural Los Mangos, de propiedad del Gobierno Regional de San Martín, en el distrito de Morales. El terreno tiene frente a la Carretera Oasis, por donde se producen los accesos peatonal y vehicular, y colinda con los terrenos destinados al Hogar de Refugio Temporal para mujeres violentadas (CUI N.° 2675514) y al Centro de Acogida Residencial - Varones (CUI N.° 2705619), con los que comparte el sistema de evacuación pluvial frontal.</w:t>
      </w:r>
    </w:p>
    <w:p>
      <w:pPr>
        <w:spacing w:after="120"/>
        <w:jc w:val="both"/>
      </w:pPr>
      <w:r>
        <w:rPr>
          <w:b w:val="0"/>
        </w:rPr>
        <w:t>La intervención se desarrolla íntegramente en un solo nivel. El nivel de piso terminado de las edificaciones se ubica 0.15 m por encima del nivel de las veredas y circulaciones exteriores, con cota de referencia 259.75 msnm según la topografía del expediente. La topografía del terreno es plana, con pendiente aproximada de 1 %, por lo que las plataformas se resuelven con rellenos y cortes menores.</w:t>
      </w:r>
    </w:p>
    <w:p>
      <w:pPr>
        <w:spacing w:after="120"/>
        <w:jc w:val="both"/>
      </w:pPr>
      <w:r>
        <w:rPr>
          <w:b w:val="0"/>
        </w:rPr>
        <w:t>El conjunto se organiza a partir de una circulación peatonal central techada, de dirección norte a sur, que parte del ingreso principal y articula las edificaciones a ambos lados. Hacia el frente se ubican el ingreso principal con su guardianía, los estacionamientos y la zona administrativa; hacia el interior, las residencias y el patio de juegos; al fondo, la losa deportiva techada con su módulo de servicios. El lado oeste concentra el ingreso secundario, el patio de maniobras y estacionamiento, los servicios generales, el servicio de alimentación y el biohuerto. Esta disposición separa las circulaciones de servicio y de visitas de las zonas residenciales, y mantiene a las residencias en el sector más protegido del terreno.</w:t>
      </w:r>
    </w:p>
    <w:p>
      <w:pPr>
        <w:pStyle w:val="Heading2"/>
      </w:pPr>
      <w:r>
        <w:t>Componentes del proyecto</w:t>
      </w:r>
    </w:p>
    <w:p>
      <w:pPr>
        <w:spacing w:after="120"/>
        <w:jc w:val="both"/>
      </w:pPr>
      <w:r>
        <w:rPr>
          <w:b w:val="0"/>
        </w:rPr>
        <w:t>El proyecto está conformado por los siguientes componentes:</w:t>
      </w:r>
    </w:p>
    <w:p>
      <w:pPr>
        <w:pStyle w:val="ListBullet"/>
        <w:spacing w:after="60"/>
        <w:jc w:val="both"/>
      </w:pPr>
      <w:r>
        <w:t>Componente 1. Infraestructura: diez edificaciones (Edificación 01 a Edificación 10), la losa deportiva techada y dos guardianías, con un área techada total de 3,654.58 m².</w:t>
      </w:r>
    </w:p>
    <w:p>
      <w:pPr>
        <w:pStyle w:val="ListBullet"/>
        <w:spacing w:after="60"/>
        <w:jc w:val="both"/>
      </w:pPr>
      <w:r>
        <w:t>Componente 2. Obras exteriores: circulaciones peatonales techadas y veredas, patio de juegos, estacionamientos y patio de maniobras, áreas verdes y biohuerto, cerco perimétrico y portadas de ingreso.</w:t>
      </w:r>
    </w:p>
    <w:p>
      <w:pPr>
        <w:pStyle w:val="ListBullet"/>
        <w:spacing w:after="60"/>
        <w:jc w:val="both"/>
      </w:pPr>
      <w:r>
        <w:t>Componente 3. Instalaciones: sanitarias, eléctricas y de drenaje pluvial, incluido el colector pluvial frontal.</w:t>
      </w:r>
    </w:p>
    <w:p>
      <w:pPr>
        <w:pStyle w:val="Heading2"/>
      </w:pPr>
      <w:r>
        <w:t>Componente 1: Infraestructura</w:t>
      </w:r>
    </w:p>
    <w:p>
      <w:pPr>
        <w:spacing w:after="120"/>
        <w:jc w:val="both"/>
      </w:pPr>
      <w:r>
        <w:rPr>
          <w:b w:val="0"/>
        </w:rPr>
        <w:t>Las edificaciones son de un nivel, con estructura aporticada de concreto armado, muros de albañilería, cobertura metálica de planchas TR4 de Aluzinc sobre tijerales metálicos, canaletas y montantes para la evacuación de las aguas de lluvia, y veredas perimetrales en todo su contorno. La descripción de cada bloque se realiza según los planos de arquitectura del expediente.</w:t>
      </w:r>
    </w:p>
    <w:p>
      <w:pPr>
        <w:pStyle w:val="Heading3"/>
      </w:pPr>
      <w:r>
        <w:t>Zona administrativa y de atención: Edificación 01 (Administración)</w:t>
      </w:r>
    </w:p>
    <w:p>
      <w:pPr>
        <w:spacing w:after="120"/>
        <w:jc w:val="both"/>
      </w:pPr>
      <w:r>
        <w:rPr>
          <w:b w:val="0"/>
        </w:rPr>
        <w:t>Ubicada al ingreso del conjunto, frente al estacionamiento principal, concentra la gestión del centro y la atención técnica y especializada, de manera que las visitas y los trámites se resuelven sin ingresar a la zona residencial. Se organiza en dos crujías unidas por un pasadizo central e incluye los siguientes ambientes:</w:t>
      </w:r>
    </w:p>
    <w:tbl>
      <w:tblPr>
        <w:tblStyle w:val="TableGrid"/>
        <w:tblW w:type="auto" w:w="0"/>
        <w:jc w:val="center"/>
        <w:tblLook w:firstColumn="1" w:firstRow="1" w:lastColumn="0" w:lastRow="0" w:noHBand="0" w:noVBand="1" w:val="04A0"/>
      </w:tblPr>
      <w:tblGrid>
        <w:gridCol w:w="4703"/>
        <w:gridCol w:w="4703"/>
      </w:tblGrid>
      <w:tr>
        <w:tc>
          <w:tcPr>
            <w:tcW w:type="dxa" w:w="6236"/>
            <w:shd w:val="clear" w:color="auto" w:fill="D9E2F3"/>
          </w:tcPr>
          <w:p>
            <w:pPr>
              <w:jc w:val="center"/>
            </w:pPr>
            <w:r/>
            <w:r>
              <w:rPr>
                <w:b/>
                <w:sz w:val="18"/>
              </w:rPr>
              <w:t>Ambiente</w:t>
            </w:r>
          </w:p>
        </w:tc>
        <w:tc>
          <w:tcPr>
            <w:tcW w:type="dxa" w:w="2268"/>
            <w:shd w:val="clear" w:color="auto" w:fill="D9E2F3"/>
          </w:tcPr>
          <w:p>
            <w:pPr>
              <w:jc w:val="center"/>
            </w:pPr>
            <w:r/>
            <w:r>
              <w:rPr>
                <w:b/>
                <w:sz w:val="18"/>
              </w:rPr>
              <w:t>Área neta (m²)</w:t>
            </w:r>
          </w:p>
        </w:tc>
      </w:tr>
      <w:tr>
        <w:tc>
          <w:tcPr>
            <w:tcW w:type="dxa" w:w="6236"/>
          </w:tcPr>
          <w:p>
            <w:r/>
            <w:r>
              <w:rPr>
                <w:sz w:val="18"/>
              </w:rPr>
              <w:t>Hall de ingreso y trabajador social</w:t>
            </w:r>
          </w:p>
        </w:tc>
        <w:tc>
          <w:tcPr>
            <w:tcW w:type="dxa" w:w="2268"/>
          </w:tcPr>
          <w:p>
            <w:pPr>
              <w:jc w:val="right"/>
            </w:pPr>
            <w:r/>
            <w:r>
              <w:rPr>
                <w:sz w:val="18"/>
              </w:rPr>
              <w:t>23.66</w:t>
            </w:r>
          </w:p>
        </w:tc>
      </w:tr>
      <w:tr>
        <w:tc>
          <w:tcPr>
            <w:tcW w:type="dxa" w:w="6236"/>
          </w:tcPr>
          <w:p>
            <w:r/>
            <w:r>
              <w:rPr>
                <w:sz w:val="18"/>
              </w:rPr>
              <w:t>Ingreso</w:t>
            </w:r>
          </w:p>
        </w:tc>
        <w:tc>
          <w:tcPr>
            <w:tcW w:type="dxa" w:w="2268"/>
          </w:tcPr>
          <w:p>
            <w:pPr>
              <w:jc w:val="right"/>
            </w:pPr>
            <w:r/>
            <w:r>
              <w:rPr>
                <w:sz w:val="18"/>
              </w:rPr>
              <w:t>9.22</w:t>
            </w:r>
          </w:p>
        </w:tc>
      </w:tr>
      <w:tr>
        <w:tc>
          <w:tcPr>
            <w:tcW w:type="dxa" w:w="6236"/>
          </w:tcPr>
          <w:p>
            <w:r/>
            <w:r>
              <w:rPr>
                <w:sz w:val="18"/>
              </w:rPr>
              <w:t>Secretaría y sala de espera</w:t>
            </w:r>
          </w:p>
        </w:tc>
        <w:tc>
          <w:tcPr>
            <w:tcW w:type="dxa" w:w="2268"/>
          </w:tcPr>
          <w:p>
            <w:pPr>
              <w:jc w:val="right"/>
            </w:pPr>
            <w:r/>
            <w:r>
              <w:rPr>
                <w:sz w:val="18"/>
              </w:rPr>
              <w:t>10.37</w:t>
            </w:r>
          </w:p>
        </w:tc>
      </w:tr>
      <w:tr>
        <w:tc>
          <w:tcPr>
            <w:tcW w:type="dxa" w:w="6236"/>
          </w:tcPr>
          <w:p>
            <w:r/>
            <w:r>
              <w:rPr>
                <w:sz w:val="18"/>
              </w:rPr>
              <w:t>Dirección general</w:t>
            </w:r>
          </w:p>
        </w:tc>
        <w:tc>
          <w:tcPr>
            <w:tcW w:type="dxa" w:w="2268"/>
          </w:tcPr>
          <w:p>
            <w:pPr>
              <w:jc w:val="right"/>
            </w:pPr>
            <w:r/>
            <w:r>
              <w:rPr>
                <w:sz w:val="18"/>
              </w:rPr>
              <w:t>10.14</w:t>
            </w:r>
          </w:p>
        </w:tc>
      </w:tr>
      <w:tr>
        <w:tc>
          <w:tcPr>
            <w:tcW w:type="dxa" w:w="6236"/>
          </w:tcPr>
          <w:p>
            <w:r/>
            <w:r>
              <w:rPr>
                <w:sz w:val="18"/>
              </w:rPr>
              <w:t>Monitoreo</w:t>
            </w:r>
          </w:p>
        </w:tc>
        <w:tc>
          <w:tcPr>
            <w:tcW w:type="dxa" w:w="2268"/>
          </w:tcPr>
          <w:p>
            <w:pPr>
              <w:jc w:val="right"/>
            </w:pPr>
            <w:r/>
            <w:r>
              <w:rPr>
                <w:sz w:val="18"/>
              </w:rPr>
              <w:t>10.50</w:t>
            </w:r>
          </w:p>
        </w:tc>
      </w:tr>
      <w:tr>
        <w:tc>
          <w:tcPr>
            <w:tcW w:type="dxa" w:w="6236"/>
          </w:tcPr>
          <w:p>
            <w:r/>
            <w:r>
              <w:rPr>
                <w:sz w:val="18"/>
              </w:rPr>
              <w:t>Data center</w:t>
            </w:r>
          </w:p>
        </w:tc>
        <w:tc>
          <w:tcPr>
            <w:tcW w:type="dxa" w:w="2268"/>
          </w:tcPr>
          <w:p>
            <w:pPr>
              <w:jc w:val="right"/>
            </w:pPr>
            <w:r/>
            <w:r>
              <w:rPr>
                <w:sz w:val="18"/>
              </w:rPr>
              <w:t>4.23</w:t>
            </w:r>
          </w:p>
        </w:tc>
      </w:tr>
      <w:tr>
        <w:tc>
          <w:tcPr>
            <w:tcW w:type="dxa" w:w="6236"/>
          </w:tcPr>
          <w:p>
            <w:r/>
            <w:r>
              <w:rPr>
                <w:sz w:val="18"/>
              </w:rPr>
              <w:t>Sala de psicología</w:t>
            </w:r>
          </w:p>
        </w:tc>
        <w:tc>
          <w:tcPr>
            <w:tcW w:type="dxa" w:w="2268"/>
          </w:tcPr>
          <w:p>
            <w:pPr>
              <w:jc w:val="right"/>
            </w:pPr>
            <w:r/>
            <w:r>
              <w:rPr>
                <w:sz w:val="18"/>
              </w:rPr>
              <w:t>9.86</w:t>
            </w:r>
          </w:p>
        </w:tc>
      </w:tr>
      <w:tr>
        <w:tc>
          <w:tcPr>
            <w:tcW w:type="dxa" w:w="6236"/>
          </w:tcPr>
          <w:p>
            <w:r/>
            <w:r>
              <w:rPr>
                <w:sz w:val="18"/>
              </w:rPr>
              <w:t>Sala de reuniones</w:t>
            </w:r>
          </w:p>
        </w:tc>
        <w:tc>
          <w:tcPr>
            <w:tcW w:type="dxa" w:w="2268"/>
          </w:tcPr>
          <w:p>
            <w:pPr>
              <w:jc w:val="right"/>
            </w:pPr>
            <w:r/>
            <w:r>
              <w:rPr>
                <w:sz w:val="18"/>
              </w:rPr>
              <w:t>15.37</w:t>
            </w:r>
          </w:p>
        </w:tc>
      </w:tr>
      <w:tr>
        <w:tc>
          <w:tcPr>
            <w:tcW w:type="dxa" w:w="6236"/>
          </w:tcPr>
          <w:p>
            <w:r/>
            <w:r>
              <w:rPr>
                <w:sz w:val="18"/>
              </w:rPr>
              <w:t>Asesoría legal</w:t>
            </w:r>
          </w:p>
        </w:tc>
        <w:tc>
          <w:tcPr>
            <w:tcW w:type="dxa" w:w="2268"/>
          </w:tcPr>
          <w:p>
            <w:pPr>
              <w:jc w:val="right"/>
            </w:pPr>
            <w:r/>
            <w:r>
              <w:rPr>
                <w:sz w:val="18"/>
              </w:rPr>
              <w:t>9.81</w:t>
            </w:r>
          </w:p>
        </w:tc>
      </w:tr>
      <w:tr>
        <w:tc>
          <w:tcPr>
            <w:tcW w:type="dxa" w:w="6236"/>
          </w:tcPr>
          <w:p>
            <w:r/>
            <w:r>
              <w:rPr>
                <w:sz w:val="18"/>
              </w:rPr>
              <w:t>Educador</w:t>
            </w:r>
          </w:p>
        </w:tc>
        <w:tc>
          <w:tcPr>
            <w:tcW w:type="dxa" w:w="2268"/>
          </w:tcPr>
          <w:p>
            <w:pPr>
              <w:jc w:val="right"/>
            </w:pPr>
            <w:r/>
            <w:r>
              <w:rPr>
                <w:sz w:val="18"/>
              </w:rPr>
              <w:t>7.64</w:t>
            </w:r>
          </w:p>
        </w:tc>
      </w:tr>
      <w:tr>
        <w:tc>
          <w:tcPr>
            <w:tcW w:type="dxa" w:w="6236"/>
          </w:tcPr>
          <w:p>
            <w:r/>
            <w:r>
              <w:rPr>
                <w:sz w:val="18"/>
              </w:rPr>
              <w:t>Consultorio de nutrición</w:t>
            </w:r>
          </w:p>
        </w:tc>
        <w:tc>
          <w:tcPr>
            <w:tcW w:type="dxa" w:w="2268"/>
          </w:tcPr>
          <w:p>
            <w:pPr>
              <w:jc w:val="right"/>
            </w:pPr>
            <w:r/>
            <w:r>
              <w:rPr>
                <w:sz w:val="18"/>
              </w:rPr>
              <w:t>8.45</w:t>
            </w:r>
          </w:p>
        </w:tc>
      </w:tr>
      <w:tr>
        <w:tc>
          <w:tcPr>
            <w:tcW w:type="dxa" w:w="6236"/>
          </w:tcPr>
          <w:p>
            <w:r/>
            <w:r>
              <w:rPr>
                <w:sz w:val="18"/>
              </w:rPr>
              <w:t>Tópico</w:t>
            </w:r>
          </w:p>
        </w:tc>
        <w:tc>
          <w:tcPr>
            <w:tcW w:type="dxa" w:w="2268"/>
          </w:tcPr>
          <w:p>
            <w:pPr>
              <w:jc w:val="right"/>
            </w:pPr>
            <w:r/>
            <w:r>
              <w:rPr>
                <w:sz w:val="18"/>
              </w:rPr>
              <w:t>11.99</w:t>
            </w:r>
          </w:p>
        </w:tc>
      </w:tr>
      <w:tr>
        <w:tc>
          <w:tcPr>
            <w:tcW w:type="dxa" w:w="6236"/>
          </w:tcPr>
          <w:p>
            <w:r/>
            <w:r>
              <w:rPr>
                <w:sz w:val="18"/>
              </w:rPr>
              <w:t>SS.HH. varones</w:t>
            </w:r>
          </w:p>
        </w:tc>
        <w:tc>
          <w:tcPr>
            <w:tcW w:type="dxa" w:w="2268"/>
          </w:tcPr>
          <w:p>
            <w:pPr>
              <w:jc w:val="right"/>
            </w:pPr>
            <w:r/>
            <w:r>
              <w:rPr>
                <w:sz w:val="18"/>
              </w:rPr>
              <w:t>3.17</w:t>
            </w:r>
          </w:p>
        </w:tc>
      </w:tr>
      <w:tr>
        <w:tc>
          <w:tcPr>
            <w:tcW w:type="dxa" w:w="6236"/>
          </w:tcPr>
          <w:p>
            <w:r/>
            <w:r>
              <w:rPr>
                <w:sz w:val="18"/>
              </w:rPr>
              <w:t>SS.HH. mujeres</w:t>
            </w:r>
          </w:p>
        </w:tc>
        <w:tc>
          <w:tcPr>
            <w:tcW w:type="dxa" w:w="2268"/>
          </w:tcPr>
          <w:p>
            <w:pPr>
              <w:jc w:val="right"/>
            </w:pPr>
            <w:r/>
            <w:r>
              <w:rPr>
                <w:sz w:val="18"/>
              </w:rPr>
              <w:t>1.64</w:t>
            </w:r>
          </w:p>
        </w:tc>
      </w:tr>
      <w:tr>
        <w:tc>
          <w:tcPr>
            <w:tcW w:type="dxa" w:w="6236"/>
          </w:tcPr>
          <w:p>
            <w:r/>
            <w:r>
              <w:rPr>
                <w:sz w:val="18"/>
              </w:rPr>
              <w:t>Pasadizos (2)</w:t>
            </w:r>
          </w:p>
        </w:tc>
        <w:tc>
          <w:tcPr>
            <w:tcW w:type="dxa" w:w="2268"/>
          </w:tcPr>
          <w:p>
            <w:pPr>
              <w:jc w:val="right"/>
            </w:pPr>
            <w:r/>
            <w:r>
              <w:rPr>
                <w:sz w:val="18"/>
              </w:rPr>
              <w:t>18.23</w:t>
            </w:r>
          </w:p>
        </w:tc>
      </w:tr>
      <w:tr>
        <w:tc>
          <w:tcPr>
            <w:tcW w:type="dxa" w:w="6236"/>
          </w:tcPr>
          <w:p>
            <w:r/>
            <w:r>
              <w:rPr>
                <w:b/>
                <w:sz w:val="18"/>
              </w:rPr>
              <w:t>Área techada de la edificación (proyección de cobertura)</w:t>
            </w:r>
          </w:p>
        </w:tc>
        <w:tc>
          <w:tcPr>
            <w:tcW w:type="dxa" w:w="2268"/>
          </w:tcPr>
          <w:p>
            <w:pPr>
              <w:jc w:val="right"/>
            </w:pPr>
            <w:r/>
            <w:r>
              <w:rPr>
                <w:b/>
                <w:sz w:val="18"/>
              </w:rPr>
              <w:t>302.40</w:t>
            </w:r>
          </w:p>
        </w:tc>
      </w:tr>
    </w:tbl>
    <w:p>
      <w:pPr>
        <w:spacing w:after="40"/>
      </w:pPr>
    </w:p>
    <w:p>
      <w:pPr>
        <w:pStyle w:val="Heading3"/>
      </w:pPr>
      <w:r>
        <w:t>Servicios higiénicos públicos: Edificación 02</w:t>
      </w:r>
    </w:p>
    <w:p>
      <w:pPr>
        <w:spacing w:after="120"/>
        <w:jc w:val="both"/>
      </w:pPr>
      <w:r>
        <w:rPr>
          <w:b w:val="0"/>
        </w:rPr>
        <w:t>Módulo de servicios higiénicos para visitantes, ubicado junto a la administración y al patio de ingreso, con batería para mujeres (17.31 m²), batería para hombres (18.53 m²) y servicio higiénico para personas con discapacidad (6.08 m²), con acceso independiente desde la circulación exterior. Área techada: 97.93 m².</w:t>
      </w:r>
    </w:p>
    <w:p>
      <w:pPr>
        <w:pStyle w:val="Heading3"/>
      </w:pPr>
      <w:r>
        <w:t>Zona residencial: Edificaciones 03, 04, 07 y 08</w:t>
      </w:r>
    </w:p>
    <w:p>
      <w:pPr>
        <w:spacing w:after="120"/>
        <w:jc w:val="both"/>
      </w:pPr>
      <w:r>
        <w:rPr>
          <w:b w:val="0"/>
        </w:rPr>
        <w:t>La zona residencial está formada por cuatro unidades de vivienda independientes, de planta igual, organizadas por grupos de edad conforme al modelo de atención de los Centros de Acogida Residencial: la Edificación 03 para niñas de 03 a 05 años, la Edificación 04 para niñas de 06 a 11 años, y las Edificaciones 07 y 08 para adolescentes de 12 a 17 años. Las Edificaciones 03 y 04 se ubican al este de la circulación central, a ambos lados del patio de juegos; las Edificaciones 07 y 08 se ubican al oeste, separadas entre sí por un jardín interior.</w:t>
      </w:r>
    </w:p>
    <w:p>
      <w:pPr>
        <w:spacing w:after="120"/>
        <w:jc w:val="both"/>
      </w:pPr>
      <w:r>
        <w:rPr>
          <w:b w:val="0"/>
        </w:rPr>
        <w:t>Cada residencia reproduce la organización de una vivienda familiar: un sector social al ingreso, con sala-estar y sala de entrevista; un sector íntimo con dos dormitorios compartidos y servicios higiénicos; un sector de apoyo con la sala de psicomotricidad, que incluye los sectores de hogar y dramatización y de biblioteca; y un sector de servicio con el dormitorio del personal de atención permanente (PAP) con closet y baño propio, lavandería y depósito. Los ambientes se vinculan por un pasadizo central y la edificación cuenta con vereda perimetral. Los ambientes de cada residencia son los siguientes:</w:t>
      </w:r>
    </w:p>
    <w:tbl>
      <w:tblPr>
        <w:tblStyle w:val="TableGrid"/>
        <w:tblW w:type="auto" w:w="0"/>
        <w:jc w:val="center"/>
        <w:tblLook w:firstColumn="1" w:firstRow="1" w:lastColumn="0" w:lastRow="0" w:noHBand="0" w:noVBand="1" w:val="04A0"/>
      </w:tblPr>
      <w:tblGrid>
        <w:gridCol w:w="4703"/>
        <w:gridCol w:w="4703"/>
      </w:tblGrid>
      <w:tr>
        <w:tc>
          <w:tcPr>
            <w:tcW w:type="dxa" w:w="6236"/>
            <w:shd w:val="clear" w:color="auto" w:fill="D9E2F3"/>
          </w:tcPr>
          <w:p>
            <w:pPr>
              <w:jc w:val="center"/>
            </w:pPr>
            <w:r/>
            <w:r>
              <w:rPr>
                <w:b/>
                <w:sz w:val="18"/>
              </w:rPr>
              <w:t>Ambiente</w:t>
            </w:r>
          </w:p>
        </w:tc>
        <w:tc>
          <w:tcPr>
            <w:tcW w:type="dxa" w:w="2268"/>
            <w:shd w:val="clear" w:color="auto" w:fill="D9E2F3"/>
          </w:tcPr>
          <w:p>
            <w:pPr>
              <w:jc w:val="center"/>
            </w:pPr>
            <w:r/>
            <w:r>
              <w:rPr>
                <w:b/>
                <w:sz w:val="18"/>
              </w:rPr>
              <w:t>Área neta (m²)</w:t>
            </w:r>
          </w:p>
        </w:tc>
      </w:tr>
      <w:tr>
        <w:tc>
          <w:tcPr>
            <w:tcW w:type="dxa" w:w="6236"/>
          </w:tcPr>
          <w:p>
            <w:r/>
            <w:r>
              <w:rPr>
                <w:sz w:val="18"/>
              </w:rPr>
              <w:t>Ingreso</w:t>
            </w:r>
          </w:p>
        </w:tc>
        <w:tc>
          <w:tcPr>
            <w:tcW w:type="dxa" w:w="2268"/>
          </w:tcPr>
          <w:p>
            <w:pPr>
              <w:jc w:val="right"/>
            </w:pPr>
            <w:r/>
            <w:r>
              <w:rPr>
                <w:sz w:val="18"/>
              </w:rPr>
              <w:t>11.49</w:t>
            </w:r>
          </w:p>
        </w:tc>
      </w:tr>
      <w:tr>
        <w:tc>
          <w:tcPr>
            <w:tcW w:type="dxa" w:w="6236"/>
          </w:tcPr>
          <w:p>
            <w:r/>
            <w:r>
              <w:rPr>
                <w:sz w:val="18"/>
              </w:rPr>
              <w:t>Sala-estar</w:t>
            </w:r>
          </w:p>
        </w:tc>
        <w:tc>
          <w:tcPr>
            <w:tcW w:type="dxa" w:w="2268"/>
          </w:tcPr>
          <w:p>
            <w:pPr>
              <w:jc w:val="right"/>
            </w:pPr>
            <w:r/>
            <w:r>
              <w:rPr>
                <w:sz w:val="18"/>
              </w:rPr>
              <w:t>16.01</w:t>
            </w:r>
          </w:p>
        </w:tc>
      </w:tr>
      <w:tr>
        <w:tc>
          <w:tcPr>
            <w:tcW w:type="dxa" w:w="6236"/>
          </w:tcPr>
          <w:p>
            <w:r/>
            <w:r>
              <w:rPr>
                <w:sz w:val="18"/>
              </w:rPr>
              <w:t>Sala de entrevista</w:t>
            </w:r>
          </w:p>
        </w:tc>
        <w:tc>
          <w:tcPr>
            <w:tcW w:type="dxa" w:w="2268"/>
          </w:tcPr>
          <w:p>
            <w:pPr>
              <w:jc w:val="right"/>
            </w:pPr>
            <w:r/>
            <w:r>
              <w:rPr>
                <w:sz w:val="18"/>
              </w:rPr>
              <w:t>14.84</w:t>
            </w:r>
          </w:p>
        </w:tc>
      </w:tr>
      <w:tr>
        <w:tc>
          <w:tcPr>
            <w:tcW w:type="dxa" w:w="6236"/>
          </w:tcPr>
          <w:p>
            <w:r/>
            <w:r>
              <w:rPr>
                <w:sz w:val="18"/>
              </w:rPr>
              <w:t>Dormitorio compartido 1</w:t>
            </w:r>
          </w:p>
        </w:tc>
        <w:tc>
          <w:tcPr>
            <w:tcW w:type="dxa" w:w="2268"/>
          </w:tcPr>
          <w:p>
            <w:pPr>
              <w:jc w:val="right"/>
            </w:pPr>
            <w:r/>
            <w:r>
              <w:rPr>
                <w:sz w:val="18"/>
              </w:rPr>
              <w:t>40.10</w:t>
            </w:r>
          </w:p>
        </w:tc>
      </w:tr>
      <w:tr>
        <w:tc>
          <w:tcPr>
            <w:tcW w:type="dxa" w:w="6236"/>
          </w:tcPr>
          <w:p>
            <w:r/>
            <w:r>
              <w:rPr>
                <w:sz w:val="18"/>
              </w:rPr>
              <w:t>Dormitorio compartido 2</w:t>
            </w:r>
          </w:p>
        </w:tc>
        <w:tc>
          <w:tcPr>
            <w:tcW w:type="dxa" w:w="2268"/>
          </w:tcPr>
          <w:p>
            <w:pPr>
              <w:jc w:val="right"/>
            </w:pPr>
            <w:r/>
            <w:r>
              <w:rPr>
                <w:sz w:val="18"/>
              </w:rPr>
              <w:t>40.08</w:t>
            </w:r>
          </w:p>
        </w:tc>
      </w:tr>
      <w:tr>
        <w:tc>
          <w:tcPr>
            <w:tcW w:type="dxa" w:w="6236"/>
          </w:tcPr>
          <w:p>
            <w:r/>
            <w:r>
              <w:rPr>
                <w:sz w:val="18"/>
              </w:rPr>
              <w:t>Servicios higiénicos compartidos (cuatro cubículos y lavatorios)</w:t>
            </w:r>
          </w:p>
        </w:tc>
        <w:tc>
          <w:tcPr>
            <w:tcW w:type="dxa" w:w="2268"/>
          </w:tcPr>
          <w:p>
            <w:pPr>
              <w:jc w:val="right"/>
            </w:pPr>
            <w:r/>
            <w:r>
              <w:rPr>
                <w:sz w:val="18"/>
              </w:rPr>
              <w:t>9.47</w:t>
            </w:r>
          </w:p>
        </w:tc>
      </w:tr>
      <w:tr>
        <w:tc>
          <w:tcPr>
            <w:tcW w:type="dxa" w:w="6236"/>
          </w:tcPr>
          <w:p>
            <w:r/>
            <w:r>
              <w:rPr>
                <w:sz w:val="18"/>
              </w:rPr>
              <w:t>Pasadizo</w:t>
            </w:r>
          </w:p>
        </w:tc>
        <w:tc>
          <w:tcPr>
            <w:tcW w:type="dxa" w:w="2268"/>
          </w:tcPr>
          <w:p>
            <w:pPr>
              <w:jc w:val="right"/>
            </w:pPr>
            <w:r/>
            <w:r>
              <w:rPr>
                <w:sz w:val="18"/>
              </w:rPr>
              <w:t>14.05</w:t>
            </w:r>
          </w:p>
        </w:tc>
      </w:tr>
      <w:tr>
        <w:tc>
          <w:tcPr>
            <w:tcW w:type="dxa" w:w="6236"/>
          </w:tcPr>
          <w:p>
            <w:r/>
            <w:r>
              <w:rPr>
                <w:sz w:val="18"/>
              </w:rPr>
              <w:t>Sala de psicomotricidad, con sector hogar y dramatización y sector biblioteca</w:t>
            </w:r>
          </w:p>
        </w:tc>
        <w:tc>
          <w:tcPr>
            <w:tcW w:type="dxa" w:w="2268"/>
          </w:tcPr>
          <w:p>
            <w:pPr>
              <w:jc w:val="right"/>
            </w:pPr>
            <w:r/>
            <w:r>
              <w:rPr>
                <w:sz w:val="18"/>
              </w:rPr>
              <w:t>38.77</w:t>
            </w:r>
          </w:p>
        </w:tc>
      </w:tr>
      <w:tr>
        <w:tc>
          <w:tcPr>
            <w:tcW w:type="dxa" w:w="6236"/>
          </w:tcPr>
          <w:p>
            <w:r/>
            <w:r>
              <w:rPr>
                <w:sz w:val="18"/>
              </w:rPr>
              <w:t>Dormitorio PAP con closet</w:t>
            </w:r>
          </w:p>
        </w:tc>
        <w:tc>
          <w:tcPr>
            <w:tcW w:type="dxa" w:w="2268"/>
          </w:tcPr>
          <w:p>
            <w:pPr>
              <w:jc w:val="right"/>
            </w:pPr>
            <w:r/>
            <w:r>
              <w:rPr>
                <w:sz w:val="18"/>
              </w:rPr>
              <w:t>7.74</w:t>
            </w:r>
          </w:p>
        </w:tc>
      </w:tr>
      <w:tr>
        <w:tc>
          <w:tcPr>
            <w:tcW w:type="dxa" w:w="6236"/>
          </w:tcPr>
          <w:p>
            <w:r/>
            <w:r>
              <w:rPr>
                <w:sz w:val="18"/>
              </w:rPr>
              <w:t>SS.HH. del dormitorio PAP</w:t>
            </w:r>
          </w:p>
        </w:tc>
        <w:tc>
          <w:tcPr>
            <w:tcW w:type="dxa" w:w="2268"/>
          </w:tcPr>
          <w:p>
            <w:pPr>
              <w:jc w:val="right"/>
            </w:pPr>
            <w:r/>
            <w:r>
              <w:rPr>
                <w:sz w:val="18"/>
              </w:rPr>
              <w:t>1.08</w:t>
            </w:r>
          </w:p>
        </w:tc>
      </w:tr>
      <w:tr>
        <w:tc>
          <w:tcPr>
            <w:tcW w:type="dxa" w:w="6236"/>
          </w:tcPr>
          <w:p>
            <w:r/>
            <w:r>
              <w:rPr>
                <w:sz w:val="18"/>
              </w:rPr>
              <w:t>Lavandería</w:t>
            </w:r>
          </w:p>
        </w:tc>
        <w:tc>
          <w:tcPr>
            <w:tcW w:type="dxa" w:w="2268"/>
          </w:tcPr>
          <w:p>
            <w:pPr>
              <w:jc w:val="right"/>
            </w:pPr>
            <w:r/>
            <w:r>
              <w:rPr>
                <w:sz w:val="18"/>
              </w:rPr>
              <w:t>5.74</w:t>
            </w:r>
          </w:p>
        </w:tc>
      </w:tr>
      <w:tr>
        <w:tc>
          <w:tcPr>
            <w:tcW w:type="dxa" w:w="6236"/>
          </w:tcPr>
          <w:p>
            <w:r/>
            <w:r>
              <w:rPr>
                <w:sz w:val="18"/>
              </w:rPr>
              <w:t>Depósito</w:t>
            </w:r>
          </w:p>
        </w:tc>
        <w:tc>
          <w:tcPr>
            <w:tcW w:type="dxa" w:w="2268"/>
          </w:tcPr>
          <w:p>
            <w:pPr>
              <w:jc w:val="right"/>
            </w:pPr>
            <w:r/>
            <w:r>
              <w:rPr>
                <w:sz w:val="18"/>
              </w:rPr>
              <w:t>4.42</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D9E2F3"/>
          </w:tcPr>
          <w:p>
            <w:pPr>
              <w:jc w:val="center"/>
            </w:pPr>
            <w:r/>
            <w:r>
              <w:rPr>
                <w:b/>
                <w:sz w:val="18"/>
              </w:rPr>
              <w:t>Edificación</w:t>
            </w:r>
          </w:p>
        </w:tc>
        <w:tc>
          <w:tcPr>
            <w:tcW w:type="dxa" w:w="3969"/>
            <w:shd w:val="clear" w:color="auto" w:fill="D9E2F3"/>
          </w:tcPr>
          <w:p>
            <w:pPr>
              <w:jc w:val="center"/>
            </w:pPr>
            <w:r/>
            <w:r>
              <w:rPr>
                <w:b/>
                <w:sz w:val="18"/>
              </w:rPr>
              <w:t>Uso</w:t>
            </w:r>
          </w:p>
        </w:tc>
        <w:tc>
          <w:tcPr>
            <w:tcW w:type="dxa" w:w="2268"/>
            <w:shd w:val="clear" w:color="auto" w:fill="D9E2F3"/>
          </w:tcPr>
          <w:p>
            <w:pPr>
              <w:jc w:val="center"/>
            </w:pPr>
            <w:r/>
            <w:r>
              <w:rPr>
                <w:b/>
                <w:sz w:val="18"/>
              </w:rPr>
              <w:t>Área techada (m²)</w:t>
            </w:r>
          </w:p>
        </w:tc>
      </w:tr>
      <w:tr>
        <w:tc>
          <w:tcPr>
            <w:tcW w:type="dxa" w:w="2268"/>
          </w:tcPr>
          <w:p>
            <w:r/>
            <w:r>
              <w:rPr>
                <w:sz w:val="18"/>
              </w:rPr>
              <w:t>Edificación 03</w:t>
            </w:r>
          </w:p>
        </w:tc>
        <w:tc>
          <w:tcPr>
            <w:tcW w:type="dxa" w:w="3969"/>
          </w:tcPr>
          <w:p>
            <w:r/>
            <w:r>
              <w:rPr>
                <w:sz w:val="18"/>
              </w:rPr>
              <w:t>Residencia de 03 a 05 años</w:t>
            </w:r>
          </w:p>
        </w:tc>
        <w:tc>
          <w:tcPr>
            <w:tcW w:type="dxa" w:w="2268"/>
          </w:tcPr>
          <w:p>
            <w:pPr>
              <w:jc w:val="right"/>
            </w:pPr>
            <w:r/>
            <w:r>
              <w:rPr>
                <w:sz w:val="18"/>
              </w:rPr>
              <w:t>370.88</w:t>
            </w:r>
          </w:p>
        </w:tc>
      </w:tr>
      <w:tr>
        <w:tc>
          <w:tcPr>
            <w:tcW w:type="dxa" w:w="2268"/>
          </w:tcPr>
          <w:p>
            <w:r/>
            <w:r>
              <w:rPr>
                <w:sz w:val="18"/>
              </w:rPr>
              <w:t>Edificación 04</w:t>
            </w:r>
          </w:p>
        </w:tc>
        <w:tc>
          <w:tcPr>
            <w:tcW w:type="dxa" w:w="3969"/>
          </w:tcPr>
          <w:p>
            <w:r/>
            <w:r>
              <w:rPr>
                <w:sz w:val="18"/>
              </w:rPr>
              <w:t>Residencia de 06 a 11 años</w:t>
            </w:r>
          </w:p>
        </w:tc>
        <w:tc>
          <w:tcPr>
            <w:tcW w:type="dxa" w:w="2268"/>
          </w:tcPr>
          <w:p>
            <w:pPr>
              <w:jc w:val="right"/>
            </w:pPr>
            <w:r/>
            <w:r>
              <w:rPr>
                <w:sz w:val="18"/>
              </w:rPr>
              <w:t>371.33</w:t>
            </w:r>
          </w:p>
        </w:tc>
      </w:tr>
      <w:tr>
        <w:tc>
          <w:tcPr>
            <w:tcW w:type="dxa" w:w="2268"/>
          </w:tcPr>
          <w:p>
            <w:r/>
            <w:r>
              <w:rPr>
                <w:sz w:val="18"/>
              </w:rPr>
              <w:t>Edificación 07</w:t>
            </w:r>
          </w:p>
        </w:tc>
        <w:tc>
          <w:tcPr>
            <w:tcW w:type="dxa" w:w="3969"/>
          </w:tcPr>
          <w:p>
            <w:r/>
            <w:r>
              <w:rPr>
                <w:sz w:val="18"/>
              </w:rPr>
              <w:t>Residencia de 12 a 17 años</w:t>
            </w:r>
          </w:p>
        </w:tc>
        <w:tc>
          <w:tcPr>
            <w:tcW w:type="dxa" w:w="2268"/>
          </w:tcPr>
          <w:p>
            <w:pPr>
              <w:jc w:val="right"/>
            </w:pPr>
            <w:r/>
            <w:r>
              <w:rPr>
                <w:sz w:val="18"/>
              </w:rPr>
              <w:t>374.67</w:t>
            </w:r>
          </w:p>
        </w:tc>
      </w:tr>
      <w:tr>
        <w:tc>
          <w:tcPr>
            <w:tcW w:type="dxa" w:w="2268"/>
          </w:tcPr>
          <w:p>
            <w:r/>
            <w:r>
              <w:rPr>
                <w:sz w:val="18"/>
              </w:rPr>
              <w:t>Edificación 08</w:t>
            </w:r>
          </w:p>
        </w:tc>
        <w:tc>
          <w:tcPr>
            <w:tcW w:type="dxa" w:w="3969"/>
          </w:tcPr>
          <w:p>
            <w:r/>
            <w:r>
              <w:rPr>
                <w:sz w:val="18"/>
              </w:rPr>
              <w:t>Residencia de 12 a 17 años</w:t>
            </w:r>
          </w:p>
        </w:tc>
        <w:tc>
          <w:tcPr>
            <w:tcW w:type="dxa" w:w="2268"/>
          </w:tcPr>
          <w:p>
            <w:pPr>
              <w:jc w:val="right"/>
            </w:pPr>
            <w:r/>
            <w:r>
              <w:rPr>
                <w:sz w:val="18"/>
              </w:rPr>
              <w:t>374.01</w:t>
            </w:r>
          </w:p>
        </w:tc>
      </w:tr>
      <w:tr>
        <w:tc>
          <w:tcPr>
            <w:tcW w:type="dxa" w:w="2268"/>
          </w:tcPr>
          <w:p>
            <w:r/>
            <w:r>
              <w:rPr>
                <w:b/>
                <w:sz w:val="18"/>
              </w:rPr>
              <w:t>Total zona residencial</w:t>
            </w:r>
          </w:p>
        </w:tc>
        <w:tc>
          <w:tcPr>
            <w:tcW w:type="dxa" w:w="3969"/>
          </w:tcPr>
          <w:p>
            <w:r/>
            <w:r>
              <w:rPr>
                <w:b/>
                <w:sz w:val="18"/>
              </w:rPr>
            </w:r>
          </w:p>
        </w:tc>
        <w:tc>
          <w:tcPr>
            <w:tcW w:type="dxa" w:w="2268"/>
          </w:tcPr>
          <w:p>
            <w:pPr>
              <w:jc w:val="right"/>
            </w:pPr>
            <w:r/>
            <w:r>
              <w:rPr>
                <w:b/>
                <w:sz w:val="18"/>
              </w:rPr>
              <w:t>1,490.89</w:t>
            </w:r>
          </w:p>
        </w:tc>
      </w:tr>
    </w:tbl>
    <w:p>
      <w:pPr>
        <w:spacing w:after="40"/>
      </w:pPr>
    </w:p>
    <w:p>
      <w:pPr>
        <w:pStyle w:val="Heading3"/>
      </w:pPr>
      <w:r>
        <w:t>Residencia de mamás sustitutas: Edificación 05</w:t>
      </w:r>
    </w:p>
    <w:p>
      <w:pPr>
        <w:spacing w:after="120"/>
        <w:jc w:val="both"/>
      </w:pPr>
      <w:r>
        <w:rPr>
          <w:b w:val="0"/>
        </w:rPr>
        <w:t>Módulo de vivienda para el personal femenino de cuidado, ubicado al noreste, próximo a las residencias de 06 a 11 años y de 12 a 17 años, con acceso desde la circulación central. Cuenta con dormitorio PAP (15.79 m²), un ambiente complementario contiguo (14.73 m²), dos servicios higiénicos, lavandería y depósito, además de vereda perimetral. Área techada: 117.96 m².</w:t>
      </w:r>
    </w:p>
    <w:p>
      <w:pPr>
        <w:pStyle w:val="Heading3"/>
      </w:pPr>
      <w:r>
        <w:t>Servicio de alimentación: Edificación 09 (SUM/comedor y cocina)</w:t>
      </w:r>
    </w:p>
    <w:p>
      <w:pPr>
        <w:spacing w:after="120"/>
        <w:jc w:val="both"/>
      </w:pPr>
      <w:r>
        <w:rPr>
          <w:b w:val="0"/>
        </w:rPr>
        <w:t>Edificación ubicada en el sector oeste, entre la circulación central y el patio de maniobras, de modo que el abastecimiento se realiza desde el patio de servicio sin cruzar la zona residencial. Está conformada por el salón de usos múltiples y comedor, un ambiente de 12.54 m por 18.03 m interiores (226.10 m²) con accesos desde la circulación central y desde el jardín lateral, y por el bloque de cocina (14.60 m²) con sus ambientes de apoyo para almacenamiento, lavado y servicio higiénico del personal. Área techada: 478.96 m².</w:t>
      </w:r>
    </w:p>
    <w:p>
      <w:pPr>
        <w:pStyle w:val="Heading3"/>
      </w:pPr>
      <w:r>
        <w:t>Servicios generales: Edificación 10</w:t>
      </w:r>
    </w:p>
    <w:p>
      <w:pPr>
        <w:spacing w:after="120"/>
        <w:jc w:val="both"/>
      </w:pPr>
      <w:r>
        <w:rPr>
          <w:b w:val="0"/>
        </w:rPr>
        <w:t>Módulo ubicado junto al ingreso secundario y al patio de maniobras, destinado a los equipos e instalaciones de servicio del centro, con cuatro ambientes técnicos de acceso independiente desde el exterior. Área techada: 86.11 m².</w:t>
      </w:r>
    </w:p>
    <w:p>
      <w:pPr>
        <w:pStyle w:val="Heading3"/>
      </w:pPr>
      <w:r>
        <w:t>Losa deportiva techada y módulo de servicios: Edificación 06</w:t>
      </w:r>
    </w:p>
    <w:p>
      <w:pPr>
        <w:spacing w:after="120"/>
        <w:jc w:val="both"/>
      </w:pPr>
      <w:r>
        <w:rPr>
          <w:b w:val="0"/>
        </w:rPr>
        <w:t>Al fondo del terreno, en el remate norte de la circulación central, se ubica la losa deportiva multiusos con cobertura metálica autosoportada sobre columnas, con nivel de piso terminado +0.15 m, para las actividades recreativas y deportivas de las residentes. Contiguo a la losa se ubica la Edificación 06, módulo de servicios higiénicos y vestidores con duchas de apoyo a la actividad deportiva. Áreas techadas: losa deportiva 828.91 m² y Edificación 06 151.08 m².</w:t>
      </w:r>
    </w:p>
    <w:p>
      <w:pPr>
        <w:pStyle w:val="Heading3"/>
      </w:pPr>
      <w:r>
        <w:t>Guardianías</w:t>
      </w:r>
    </w:p>
    <w:p>
      <w:pPr>
        <w:spacing w:after="120"/>
        <w:jc w:val="both"/>
      </w:pPr>
      <w:r>
        <w:rPr>
          <w:b w:val="0"/>
        </w:rPr>
        <w:t>El ingreso principal, por la Carretera Oasis, cuenta con una guardianía con servicio higiénico (7.43 m²) que controla el acceso peatonal y el estacionamiento N.° 01; el ingreso secundario, de servicio, cuenta con una caseta de control que vigila el patio de maniobras y el estacionamiento N.° 02. Áreas techadas: 37.41 m² y 62.93 m², respectivamente.</w:t>
      </w:r>
    </w:p>
    <w:p>
      <w:pPr>
        <w:pStyle w:val="Heading2"/>
      </w:pPr>
      <w:r>
        <w:t>Componente 2: Obras exteriores</w:t>
      </w:r>
    </w:p>
    <w:p>
      <w:pPr>
        <w:pStyle w:val="ListBullet"/>
        <w:spacing w:after="60"/>
        <w:jc w:val="both"/>
      </w:pPr>
      <w:r>
        <w:t>Circulación peatonal central techada y veredas de concreto que vinculan todas las edificaciones, con rampas de pendiente 10 % en los accesos desde la Carretera Oasis; las veredas y áreas libres de concreto frotachado suman 816.87 m² en veintidós paños.</w:t>
      </w:r>
    </w:p>
    <w:p>
      <w:pPr>
        <w:pStyle w:val="ListBullet"/>
        <w:spacing w:after="60"/>
        <w:jc w:val="both"/>
      </w:pPr>
      <w:r>
        <w:t>Estacionamiento N.° 01 para visitantes, al ingreso principal, con espacios para motocicletas y vehículos ligeros; estacionamiento N.° 02 y patio de maniobras de servicio, al ingreso secundario, para el abastecimiento de la cocina y los servicios generales. Superficie pavimentada total: 812.65 m² (728.10 m² y 84.55 m²).</w:t>
      </w:r>
    </w:p>
    <w:p>
      <w:pPr>
        <w:pStyle w:val="ListBullet"/>
        <w:spacing w:after="60"/>
        <w:jc w:val="both"/>
      </w:pPr>
      <w:r>
        <w:t>Patio de juegos entre las residencias de 03 a 05 años y de 06 a 11 años, de 201.33 m², con juegos infantiles.</w:t>
      </w:r>
    </w:p>
    <w:p>
      <w:pPr>
        <w:pStyle w:val="ListBullet"/>
        <w:spacing w:after="60"/>
        <w:jc w:val="both"/>
      </w:pPr>
      <w:r>
        <w:t>Áreas verdes y jardines interiores entre edificaciones, con arborización, por 2,206.56 m², y biohuerto en el sector oeste del terreno.</w:t>
      </w:r>
    </w:p>
    <w:p>
      <w:pPr>
        <w:pStyle w:val="ListBullet"/>
        <w:spacing w:after="60"/>
        <w:jc w:val="both"/>
      </w:pPr>
      <w:r>
        <w:t>Cerco perimétrico en los linderos del terreno y portadas en los ingresos principal y secundario.</w:t>
      </w:r>
    </w:p>
    <w:p>
      <w:pPr>
        <w:pStyle w:val="ListBullet"/>
        <w:spacing w:after="60"/>
        <w:jc w:val="both"/>
      </w:pPr>
      <w:r>
        <w:t>Obras exteriores identificadas en la planta general con los códigos OE‑01 a OE‑10 y obras complementarias OC‑01 a OC‑09, detalladas en los planos de la especialidad.</w:t>
      </w:r>
    </w:p>
    <w:p>
      <w:pPr>
        <w:pStyle w:val="Heading2"/>
      </w:pPr>
      <w:r>
        <w:t>Componente 3: Instalaciones</w:t>
      </w:r>
    </w:p>
    <w:p>
      <w:pPr>
        <w:pStyle w:val="Heading3"/>
      </w:pPr>
      <w:r>
        <w:t>Instalaciones sanitarias</w:t>
      </w:r>
    </w:p>
    <w:p>
      <w:pPr>
        <w:spacing w:after="120"/>
        <w:jc w:val="both"/>
      </w:pPr>
      <w:r>
        <w:rPr>
          <w:b w:val="0"/>
        </w:rPr>
        <w:t>Comprenden las redes de agua potable y desagüe de las edificaciones y los servicios higiénicos descritos, con tuberías de PVC‑U, cajas de registro con tapas de inspección en las veredas y disposición final de las aguas residuales en un pozo séptico ubicado en el sector noroeste del terreno, de acuerdo con los planos de instalaciones sanitarias del expediente.</w:t>
      </w:r>
    </w:p>
    <w:p>
      <w:pPr>
        <w:pStyle w:val="Heading3"/>
      </w:pPr>
      <w:r>
        <w:t>Instalaciones eléctricas</w:t>
      </w:r>
    </w:p>
    <w:p>
      <w:pPr>
        <w:spacing w:after="120"/>
        <w:jc w:val="both"/>
      </w:pPr>
      <w:r>
        <w:rPr>
          <w:b w:val="0"/>
        </w:rPr>
        <w:t>Comprenden la acometida y las redes de alimentación a las edificaciones, los tableros de distribución, el alumbrado y los tomacorrientes interiores y el alumbrado de las circulaciones y áreas exteriores, de acuerdo con los planos de instalaciones eléctricas del expediente. Los equipos de servicio se ubican en la Edificación 10 (servicios generales).</w:t>
      </w:r>
    </w:p>
    <w:p>
      <w:pPr>
        <w:pStyle w:val="Heading3"/>
      </w:pPr>
      <w:r>
        <w:t>Drenaje pluvial</w:t>
      </w:r>
    </w:p>
    <w:p>
      <w:pPr>
        <w:spacing w:after="120"/>
        <w:jc w:val="both"/>
      </w:pPr>
      <w:r>
        <w:rPr>
          <w:b w:val="0"/>
        </w:rPr>
        <w:t>El sistema de drenaje pluvial se ha diseñado para un periodo de retorno de 25 años, con las coberturas TR4 como superficie de captación. Cada edificación evacúa sus techos mediante canaletas de 0.20 m × 0.25 m y montantes de PVC de 4” que descargan en cunetas de piso de concreto armado de 0.40 m × 0.30 m, abiertas con rejilla metálica o tapadas en los cruces de circulación. El sistema se organiza en trece sectores (la losa deportiva, las Edificaciones 01 a 10 y las guardianías 01 y 02), con una superficie total de aporte de 3,654.58 m² de techos, 816.87 m² de veredas, 812.65 m² de pavimento y 2,206.56 m² de áreas verdes.</w:t>
      </w:r>
    </w:p>
    <w:p>
      <w:pPr>
        <w:spacing w:after="120"/>
        <w:jc w:val="both"/>
      </w:pPr>
      <w:r>
        <w:rPr>
          <w:b w:val="0"/>
        </w:rPr>
        <w:t>Las cunetas entregan al colector pluvial frontal, estructura de concreto armado de sección rectangular de 1.50 m de ancho interior y altura interior de 0.43 m a 0.67 m, que recorre el frente del terreno bajo la vereda, con eje a 0.85 m del lindero y pendiente de 0.302 %, y descarga hacia la Carretera Oasis mediante una estructura de salida con aleros, emboquillado de piedra y uña de concreto ciclópeo. El colector recibe además los aportes de los proyectos colindantes, Hogar de Refugio Temporal (CUI N.° 2675514) y CAR Varones (CUI N.° 2705619), con un caudal total de diseño de 822.9 L/s en la salida.</w:t>
      </w:r>
    </w:p>
    <w:p>
      <w:pPr>
        <w:pStyle w:val="Heading2"/>
      </w:pPr>
      <w:r>
        <w:t>Cuadro general de áreas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D9E2F3"/>
          </w:tcPr>
          <w:p>
            <w:pPr>
              <w:jc w:val="center"/>
            </w:pPr>
            <w:r/>
            <w:r>
              <w:rPr>
                <w:b/>
                <w:sz w:val="18"/>
              </w:rPr>
              <w:t>Bloque</w:t>
            </w:r>
          </w:p>
        </w:tc>
        <w:tc>
          <w:tcPr>
            <w:tcW w:type="dxa" w:w="4535"/>
            <w:shd w:val="clear" w:color="auto" w:fill="D9E2F3"/>
          </w:tcPr>
          <w:p>
            <w:pPr>
              <w:jc w:val="center"/>
            </w:pPr>
            <w:r/>
            <w:r>
              <w:rPr>
                <w:b/>
                <w:sz w:val="18"/>
              </w:rPr>
              <w:t>Uso</w:t>
            </w:r>
          </w:p>
        </w:tc>
        <w:tc>
          <w:tcPr>
            <w:tcW w:type="dxa" w:w="2268"/>
            <w:shd w:val="clear" w:color="auto" w:fill="D9E2F3"/>
          </w:tcPr>
          <w:p>
            <w:pPr>
              <w:jc w:val="center"/>
            </w:pPr>
            <w:r/>
            <w:r>
              <w:rPr>
                <w:b/>
                <w:sz w:val="18"/>
              </w:rPr>
              <w:t>Área techada (m²)</w:t>
            </w:r>
          </w:p>
        </w:tc>
      </w:tr>
      <w:tr>
        <w:tc>
          <w:tcPr>
            <w:tcW w:type="dxa" w:w="2268"/>
          </w:tcPr>
          <w:p>
            <w:r/>
            <w:r>
              <w:rPr>
                <w:sz w:val="18"/>
              </w:rPr>
              <w:t>Edificación 01</w:t>
            </w:r>
          </w:p>
        </w:tc>
        <w:tc>
          <w:tcPr>
            <w:tcW w:type="dxa" w:w="4535"/>
          </w:tcPr>
          <w:p>
            <w:r/>
            <w:r>
              <w:rPr>
                <w:sz w:val="18"/>
              </w:rPr>
              <w:t>Administración</w:t>
            </w:r>
          </w:p>
        </w:tc>
        <w:tc>
          <w:tcPr>
            <w:tcW w:type="dxa" w:w="2268"/>
          </w:tcPr>
          <w:p>
            <w:pPr>
              <w:jc w:val="right"/>
            </w:pPr>
            <w:r/>
            <w:r>
              <w:rPr>
                <w:sz w:val="18"/>
              </w:rPr>
              <w:t>302.40</w:t>
            </w:r>
          </w:p>
        </w:tc>
      </w:tr>
      <w:tr>
        <w:tc>
          <w:tcPr>
            <w:tcW w:type="dxa" w:w="2268"/>
          </w:tcPr>
          <w:p>
            <w:r/>
            <w:r>
              <w:rPr>
                <w:sz w:val="18"/>
              </w:rPr>
              <w:t>Edificación 02</w:t>
            </w:r>
          </w:p>
        </w:tc>
        <w:tc>
          <w:tcPr>
            <w:tcW w:type="dxa" w:w="4535"/>
          </w:tcPr>
          <w:p>
            <w:r/>
            <w:r>
              <w:rPr>
                <w:sz w:val="18"/>
              </w:rPr>
              <w:t>Servicios higiénicos públicos</w:t>
            </w:r>
          </w:p>
        </w:tc>
        <w:tc>
          <w:tcPr>
            <w:tcW w:type="dxa" w:w="2268"/>
          </w:tcPr>
          <w:p>
            <w:pPr>
              <w:jc w:val="right"/>
            </w:pPr>
            <w:r/>
            <w:r>
              <w:rPr>
                <w:sz w:val="18"/>
              </w:rPr>
              <w:t>97.93</w:t>
            </w:r>
          </w:p>
        </w:tc>
      </w:tr>
      <w:tr>
        <w:tc>
          <w:tcPr>
            <w:tcW w:type="dxa" w:w="2268"/>
          </w:tcPr>
          <w:p>
            <w:r/>
            <w:r>
              <w:rPr>
                <w:sz w:val="18"/>
              </w:rPr>
              <w:t>Edificación 03</w:t>
            </w:r>
          </w:p>
        </w:tc>
        <w:tc>
          <w:tcPr>
            <w:tcW w:type="dxa" w:w="4535"/>
          </w:tcPr>
          <w:p>
            <w:r/>
            <w:r>
              <w:rPr>
                <w:sz w:val="18"/>
              </w:rPr>
              <w:t>Residencia de 03 a 05 años</w:t>
            </w:r>
          </w:p>
        </w:tc>
        <w:tc>
          <w:tcPr>
            <w:tcW w:type="dxa" w:w="2268"/>
          </w:tcPr>
          <w:p>
            <w:pPr>
              <w:jc w:val="right"/>
            </w:pPr>
            <w:r/>
            <w:r>
              <w:rPr>
                <w:sz w:val="18"/>
              </w:rPr>
              <w:t>370.88</w:t>
            </w:r>
          </w:p>
        </w:tc>
      </w:tr>
      <w:tr>
        <w:tc>
          <w:tcPr>
            <w:tcW w:type="dxa" w:w="2268"/>
          </w:tcPr>
          <w:p>
            <w:r/>
            <w:r>
              <w:rPr>
                <w:sz w:val="18"/>
              </w:rPr>
              <w:t>Edificación 04</w:t>
            </w:r>
          </w:p>
        </w:tc>
        <w:tc>
          <w:tcPr>
            <w:tcW w:type="dxa" w:w="4535"/>
          </w:tcPr>
          <w:p>
            <w:r/>
            <w:r>
              <w:rPr>
                <w:sz w:val="18"/>
              </w:rPr>
              <w:t>Residencia de 06 a 11 años</w:t>
            </w:r>
          </w:p>
        </w:tc>
        <w:tc>
          <w:tcPr>
            <w:tcW w:type="dxa" w:w="2268"/>
          </w:tcPr>
          <w:p>
            <w:pPr>
              <w:jc w:val="right"/>
            </w:pPr>
            <w:r/>
            <w:r>
              <w:rPr>
                <w:sz w:val="18"/>
              </w:rPr>
              <w:t>371.33</w:t>
            </w:r>
          </w:p>
        </w:tc>
      </w:tr>
      <w:tr>
        <w:tc>
          <w:tcPr>
            <w:tcW w:type="dxa" w:w="2268"/>
          </w:tcPr>
          <w:p>
            <w:r/>
            <w:r>
              <w:rPr>
                <w:sz w:val="18"/>
              </w:rPr>
              <w:t>Edificación 05</w:t>
            </w:r>
          </w:p>
        </w:tc>
        <w:tc>
          <w:tcPr>
            <w:tcW w:type="dxa" w:w="4535"/>
          </w:tcPr>
          <w:p>
            <w:r/>
            <w:r>
              <w:rPr>
                <w:sz w:val="18"/>
              </w:rPr>
              <w:t>Residencia de mamás sustitutas</w:t>
            </w:r>
          </w:p>
        </w:tc>
        <w:tc>
          <w:tcPr>
            <w:tcW w:type="dxa" w:w="2268"/>
          </w:tcPr>
          <w:p>
            <w:pPr>
              <w:jc w:val="right"/>
            </w:pPr>
            <w:r/>
            <w:r>
              <w:rPr>
                <w:sz w:val="18"/>
              </w:rPr>
              <w:t>117.96</w:t>
            </w:r>
          </w:p>
        </w:tc>
      </w:tr>
      <w:tr>
        <w:tc>
          <w:tcPr>
            <w:tcW w:type="dxa" w:w="2268"/>
          </w:tcPr>
          <w:p>
            <w:r/>
            <w:r>
              <w:rPr>
                <w:sz w:val="18"/>
              </w:rPr>
              <w:t>Edificación 06</w:t>
            </w:r>
          </w:p>
        </w:tc>
        <w:tc>
          <w:tcPr>
            <w:tcW w:type="dxa" w:w="4535"/>
          </w:tcPr>
          <w:p>
            <w:r/>
            <w:r>
              <w:rPr>
                <w:sz w:val="18"/>
              </w:rPr>
              <w:t>Servicios higiénicos y vestidores de la losa deportiva</w:t>
            </w:r>
          </w:p>
        </w:tc>
        <w:tc>
          <w:tcPr>
            <w:tcW w:type="dxa" w:w="2268"/>
          </w:tcPr>
          <w:p>
            <w:pPr>
              <w:jc w:val="right"/>
            </w:pPr>
            <w:r/>
            <w:r>
              <w:rPr>
                <w:sz w:val="18"/>
              </w:rPr>
              <w:t>151.08</w:t>
            </w:r>
          </w:p>
        </w:tc>
      </w:tr>
      <w:tr>
        <w:tc>
          <w:tcPr>
            <w:tcW w:type="dxa" w:w="2268"/>
          </w:tcPr>
          <w:p>
            <w:r/>
            <w:r>
              <w:rPr>
                <w:sz w:val="18"/>
              </w:rPr>
              <w:t>Edificación 07</w:t>
            </w:r>
          </w:p>
        </w:tc>
        <w:tc>
          <w:tcPr>
            <w:tcW w:type="dxa" w:w="4535"/>
          </w:tcPr>
          <w:p>
            <w:r/>
            <w:r>
              <w:rPr>
                <w:sz w:val="18"/>
              </w:rPr>
              <w:t>Residencia de 12 a 17 años</w:t>
            </w:r>
          </w:p>
        </w:tc>
        <w:tc>
          <w:tcPr>
            <w:tcW w:type="dxa" w:w="2268"/>
          </w:tcPr>
          <w:p>
            <w:pPr>
              <w:jc w:val="right"/>
            </w:pPr>
            <w:r/>
            <w:r>
              <w:rPr>
                <w:sz w:val="18"/>
              </w:rPr>
              <w:t>374.67</w:t>
            </w:r>
          </w:p>
        </w:tc>
      </w:tr>
      <w:tr>
        <w:tc>
          <w:tcPr>
            <w:tcW w:type="dxa" w:w="2268"/>
          </w:tcPr>
          <w:p>
            <w:r/>
            <w:r>
              <w:rPr>
                <w:sz w:val="18"/>
              </w:rPr>
              <w:t>Edificación 08</w:t>
            </w:r>
          </w:p>
        </w:tc>
        <w:tc>
          <w:tcPr>
            <w:tcW w:type="dxa" w:w="4535"/>
          </w:tcPr>
          <w:p>
            <w:r/>
            <w:r>
              <w:rPr>
                <w:sz w:val="18"/>
              </w:rPr>
              <w:t>Residencia de 12 a 17 años</w:t>
            </w:r>
          </w:p>
        </w:tc>
        <w:tc>
          <w:tcPr>
            <w:tcW w:type="dxa" w:w="2268"/>
          </w:tcPr>
          <w:p>
            <w:pPr>
              <w:jc w:val="right"/>
            </w:pPr>
            <w:r/>
            <w:r>
              <w:rPr>
                <w:sz w:val="18"/>
              </w:rPr>
              <w:t>374.01</w:t>
            </w:r>
          </w:p>
        </w:tc>
      </w:tr>
      <w:tr>
        <w:tc>
          <w:tcPr>
            <w:tcW w:type="dxa" w:w="2268"/>
          </w:tcPr>
          <w:p>
            <w:r/>
            <w:r>
              <w:rPr>
                <w:sz w:val="18"/>
              </w:rPr>
              <w:t>Edificación 09</w:t>
            </w:r>
          </w:p>
        </w:tc>
        <w:tc>
          <w:tcPr>
            <w:tcW w:type="dxa" w:w="4535"/>
          </w:tcPr>
          <w:p>
            <w:r/>
            <w:r>
              <w:rPr>
                <w:sz w:val="18"/>
              </w:rPr>
              <w:t>SUM/comedor y cocina</w:t>
            </w:r>
          </w:p>
        </w:tc>
        <w:tc>
          <w:tcPr>
            <w:tcW w:type="dxa" w:w="2268"/>
          </w:tcPr>
          <w:p>
            <w:pPr>
              <w:jc w:val="right"/>
            </w:pPr>
            <w:r/>
            <w:r>
              <w:rPr>
                <w:sz w:val="18"/>
              </w:rPr>
              <w:t>478.96</w:t>
            </w:r>
          </w:p>
        </w:tc>
      </w:tr>
      <w:tr>
        <w:tc>
          <w:tcPr>
            <w:tcW w:type="dxa" w:w="2268"/>
          </w:tcPr>
          <w:p>
            <w:r/>
            <w:r>
              <w:rPr>
                <w:sz w:val="18"/>
              </w:rPr>
              <w:t>Edificación 10</w:t>
            </w:r>
          </w:p>
        </w:tc>
        <w:tc>
          <w:tcPr>
            <w:tcW w:type="dxa" w:w="4535"/>
          </w:tcPr>
          <w:p>
            <w:r/>
            <w:r>
              <w:rPr>
                <w:sz w:val="18"/>
              </w:rPr>
              <w:t>Servicios generales</w:t>
            </w:r>
          </w:p>
        </w:tc>
        <w:tc>
          <w:tcPr>
            <w:tcW w:type="dxa" w:w="2268"/>
          </w:tcPr>
          <w:p>
            <w:pPr>
              <w:jc w:val="right"/>
            </w:pPr>
            <w:r/>
            <w:r>
              <w:rPr>
                <w:sz w:val="18"/>
              </w:rPr>
              <w:t>86.11</w:t>
            </w:r>
          </w:p>
        </w:tc>
      </w:tr>
      <w:tr>
        <w:tc>
          <w:tcPr>
            <w:tcW w:type="dxa" w:w="2268"/>
          </w:tcPr>
          <w:p>
            <w:r/>
            <w:r>
              <w:rPr>
                <w:sz w:val="18"/>
              </w:rPr>
              <w:t>Losa deportiva</w:t>
            </w:r>
          </w:p>
        </w:tc>
        <w:tc>
          <w:tcPr>
            <w:tcW w:type="dxa" w:w="4535"/>
          </w:tcPr>
          <w:p>
            <w:r/>
            <w:r>
              <w:rPr>
                <w:sz w:val="18"/>
              </w:rPr>
              <w:t>Losa deportiva techada</w:t>
            </w:r>
          </w:p>
        </w:tc>
        <w:tc>
          <w:tcPr>
            <w:tcW w:type="dxa" w:w="2268"/>
          </w:tcPr>
          <w:p>
            <w:pPr>
              <w:jc w:val="right"/>
            </w:pPr>
            <w:r/>
            <w:r>
              <w:rPr>
                <w:sz w:val="18"/>
              </w:rPr>
              <w:t>828.91</w:t>
            </w:r>
          </w:p>
        </w:tc>
      </w:tr>
      <w:tr>
        <w:tc>
          <w:tcPr>
            <w:tcW w:type="dxa" w:w="2268"/>
          </w:tcPr>
          <w:p>
            <w:r/>
            <w:r>
              <w:rPr>
                <w:sz w:val="18"/>
              </w:rPr>
              <w:t>Guardianía 01</w:t>
            </w:r>
          </w:p>
        </w:tc>
        <w:tc>
          <w:tcPr>
            <w:tcW w:type="dxa" w:w="4535"/>
          </w:tcPr>
          <w:p>
            <w:r/>
            <w:r>
              <w:rPr>
                <w:sz w:val="18"/>
              </w:rPr>
              <w:t>Control de ingreso principal</w:t>
            </w:r>
          </w:p>
        </w:tc>
        <w:tc>
          <w:tcPr>
            <w:tcW w:type="dxa" w:w="2268"/>
          </w:tcPr>
          <w:p>
            <w:pPr>
              <w:jc w:val="right"/>
            </w:pPr>
            <w:r/>
            <w:r>
              <w:rPr>
                <w:sz w:val="18"/>
              </w:rPr>
              <w:t>37.41</w:t>
            </w:r>
          </w:p>
        </w:tc>
      </w:tr>
      <w:tr>
        <w:tc>
          <w:tcPr>
            <w:tcW w:type="dxa" w:w="2268"/>
          </w:tcPr>
          <w:p>
            <w:r/>
            <w:r>
              <w:rPr>
                <w:sz w:val="18"/>
              </w:rPr>
              <w:t>Guardianía 02</w:t>
            </w:r>
          </w:p>
        </w:tc>
        <w:tc>
          <w:tcPr>
            <w:tcW w:type="dxa" w:w="4535"/>
          </w:tcPr>
          <w:p>
            <w:r/>
            <w:r>
              <w:rPr>
                <w:sz w:val="18"/>
              </w:rPr>
              <w:t>Control de ingreso secundario</w:t>
            </w:r>
          </w:p>
        </w:tc>
        <w:tc>
          <w:tcPr>
            <w:tcW w:type="dxa" w:w="2268"/>
          </w:tcPr>
          <w:p>
            <w:pPr>
              <w:jc w:val="right"/>
            </w:pPr>
            <w:r/>
            <w:r>
              <w:rPr>
                <w:sz w:val="18"/>
              </w:rPr>
              <w:t>62.93</w:t>
            </w:r>
          </w:p>
        </w:tc>
      </w:tr>
      <w:tr>
        <w:tc>
          <w:tcPr>
            <w:tcW w:type="dxa" w:w="2268"/>
          </w:tcPr>
          <w:p>
            <w:r/>
            <w:r>
              <w:rPr>
                <w:b/>
                <w:sz w:val="18"/>
              </w:rPr>
              <w:t>Total área techada</w:t>
            </w:r>
          </w:p>
        </w:tc>
        <w:tc>
          <w:tcPr>
            <w:tcW w:type="dxa" w:w="4535"/>
          </w:tcPr>
          <w:p>
            <w:r/>
            <w:r>
              <w:rPr>
                <w:b/>
                <w:sz w:val="18"/>
              </w:rPr>
            </w:r>
          </w:p>
        </w:tc>
        <w:tc>
          <w:tcPr>
            <w:tcW w:type="dxa" w:w="2268"/>
          </w:tcPr>
          <w:p>
            <w:pPr>
              <w:jc w:val="right"/>
            </w:pPr>
            <w:r/>
            <w:r>
              <w:rPr>
                <w:b/>
                <w:sz w:val="18"/>
              </w:rPr>
              <w:t>3,654.58</w:t>
            </w:r>
          </w:p>
        </w:tc>
      </w:tr>
    </w:tbl>
    <w:p>
      <w:pPr>
        <w:spacing w:after="40"/>
      </w:pPr>
    </w:p>
    <w:tbl>
      <w:tblPr>
        <w:tblStyle w:val="TableGrid"/>
        <w:tblW w:type="auto" w:w="0"/>
        <w:jc w:val="center"/>
        <w:tblLook w:firstColumn="1" w:firstRow="1" w:lastColumn="0" w:lastRow="0" w:noHBand="0" w:noVBand="1" w:val="04A0"/>
      </w:tblPr>
      <w:tblGrid>
        <w:gridCol w:w="4703"/>
        <w:gridCol w:w="4703"/>
      </w:tblGrid>
      <w:tr>
        <w:tc>
          <w:tcPr>
            <w:tcW w:type="dxa" w:w="5669"/>
            <w:shd w:val="clear" w:color="auto" w:fill="D9E2F3"/>
          </w:tcPr>
          <w:p>
            <w:pPr>
              <w:jc w:val="center"/>
            </w:pPr>
            <w:r/>
            <w:r>
              <w:rPr>
                <w:b/>
                <w:sz w:val="18"/>
              </w:rPr>
              <w:t>Concepto</w:t>
            </w:r>
          </w:p>
        </w:tc>
        <w:tc>
          <w:tcPr>
            <w:tcW w:type="dxa" w:w="2268"/>
            <w:shd w:val="clear" w:color="auto" w:fill="D9E2F3"/>
          </w:tcPr>
          <w:p>
            <w:pPr>
              <w:jc w:val="center"/>
            </w:pPr>
            <w:r/>
            <w:r>
              <w:rPr>
                <w:b/>
                <w:sz w:val="18"/>
              </w:rPr>
              <w:t>Área (m²)</w:t>
            </w:r>
          </w:p>
        </w:tc>
      </w:tr>
      <w:tr>
        <w:tc>
          <w:tcPr>
            <w:tcW w:type="dxa" w:w="5669"/>
          </w:tcPr>
          <w:p>
            <w:r/>
            <w:r>
              <w:rPr>
                <w:sz w:val="18"/>
              </w:rPr>
              <w:t>Área del terreno</w:t>
            </w:r>
          </w:p>
        </w:tc>
        <w:tc>
          <w:tcPr>
            <w:tcW w:type="dxa" w:w="2268"/>
          </w:tcPr>
          <w:p>
            <w:pPr>
              <w:jc w:val="right"/>
            </w:pPr>
            <w:r/>
            <w:r>
              <w:rPr>
                <w:sz w:val="18"/>
              </w:rPr>
              <w:t>6,999.98</w:t>
            </w:r>
          </w:p>
        </w:tc>
      </w:tr>
      <w:tr>
        <w:tc>
          <w:tcPr>
            <w:tcW w:type="dxa" w:w="5669"/>
          </w:tcPr>
          <w:p>
            <w:r/>
            <w:r>
              <w:rPr>
                <w:sz w:val="18"/>
              </w:rPr>
              <w:t>Área techada</w:t>
            </w:r>
          </w:p>
        </w:tc>
        <w:tc>
          <w:tcPr>
            <w:tcW w:type="dxa" w:w="2268"/>
          </w:tcPr>
          <w:p>
            <w:pPr>
              <w:jc w:val="right"/>
            </w:pPr>
            <w:r/>
            <w:r>
              <w:rPr>
                <w:sz w:val="18"/>
              </w:rPr>
              <w:t>3,654.58</w:t>
            </w:r>
          </w:p>
        </w:tc>
      </w:tr>
      <w:tr>
        <w:tc>
          <w:tcPr>
            <w:tcW w:type="dxa" w:w="5669"/>
          </w:tcPr>
          <w:p>
            <w:r/>
            <w:r>
              <w:rPr>
                <w:b/>
                <w:sz w:val="18"/>
              </w:rPr>
              <w:t>Área libre</w:t>
            </w:r>
          </w:p>
        </w:tc>
        <w:tc>
          <w:tcPr>
            <w:tcW w:type="dxa" w:w="2268"/>
          </w:tcPr>
          <w:p>
            <w:pPr>
              <w:jc w:val="right"/>
            </w:pPr>
            <w:r/>
            <w:r>
              <w:rPr>
                <w:b/>
                <w:sz w:val="18"/>
              </w:rPr>
              <w:t>3,345.40</w:t>
            </w:r>
          </w:p>
        </w:tc>
      </w:tr>
    </w:tbl>
    <w:p>
      <w:pPr>
        <w:spacing w:after="40"/>
      </w:pPr>
    </w:p>
    <w:p>
      <w:pPr>
        <w:spacing w:after="120"/>
        <w:jc w:val="both"/>
      </w:pPr>
      <w:r>
        <w:rPr>
          <w:b w:val="0"/>
        </w:rPr>
        <w:t>El área techada corresponde a la proyección horizontal de las coberturas de cada edificación, valores que coinciden con los sectores de drenaje de la memoria hidrológica del expediente.</w:t>
      </w:r>
    </w:p>
    <w:p>
      <w:pPr>
        <w:pStyle w:val="Heading2"/>
      </w:pPr>
      <w:r>
        <w:t>Metas físicas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D9E2F3"/>
          </w:tcPr>
          <w:p>
            <w:pPr>
              <w:jc w:val="center"/>
            </w:pPr>
            <w:r/>
            <w:r>
              <w:rPr>
                <w:b/>
                <w:sz w:val="18"/>
              </w:rPr>
              <w:t>N.°</w:t>
            </w:r>
          </w:p>
        </w:tc>
        <w:tc>
          <w:tcPr>
            <w:tcW w:type="dxa" w:w="5669"/>
            <w:shd w:val="clear" w:color="auto" w:fill="D9E2F3"/>
          </w:tcPr>
          <w:p>
            <w:pPr>
              <w:jc w:val="center"/>
            </w:pPr>
            <w:r/>
            <w:r>
              <w:rPr>
                <w:b/>
                <w:sz w:val="18"/>
              </w:rPr>
              <w:t>Meta</w:t>
            </w:r>
          </w:p>
        </w:tc>
        <w:tc>
          <w:tcPr>
            <w:tcW w:type="dxa" w:w="1417"/>
            <w:shd w:val="clear" w:color="auto" w:fill="D9E2F3"/>
          </w:tcPr>
          <w:p>
            <w:pPr>
              <w:jc w:val="center"/>
            </w:pPr>
            <w:r/>
            <w:r>
              <w:rPr>
                <w:b/>
                <w:sz w:val="18"/>
              </w:rPr>
              <w:t>Cantidad</w:t>
            </w:r>
          </w:p>
        </w:tc>
        <w:tc>
          <w:tcPr>
            <w:tcW w:type="dxa" w:w="1417"/>
            <w:shd w:val="clear" w:color="auto" w:fill="D9E2F3"/>
          </w:tcPr>
          <w:p>
            <w:pPr>
              <w:jc w:val="center"/>
            </w:pPr>
            <w:r/>
            <w:r>
              <w:rPr>
                <w:b/>
                <w:sz w:val="18"/>
              </w:rPr>
              <w:t>Unidad</w:t>
            </w:r>
          </w:p>
        </w:tc>
      </w:tr>
      <w:tr>
        <w:tc>
          <w:tcPr>
            <w:tcW w:type="dxa" w:w="567"/>
          </w:tcPr>
          <w:p>
            <w:r/>
            <w:r>
              <w:rPr>
                <w:sz w:val="18"/>
              </w:rPr>
              <w:t>1</w:t>
            </w:r>
          </w:p>
        </w:tc>
        <w:tc>
          <w:tcPr>
            <w:tcW w:type="dxa" w:w="5669"/>
          </w:tcPr>
          <w:p>
            <w:r/>
            <w:r>
              <w:rPr>
                <w:sz w:val="18"/>
              </w:rPr>
              <w:t>Construcción de la Edificación 01 - Administración (un nivel)</w:t>
            </w:r>
          </w:p>
        </w:tc>
        <w:tc>
          <w:tcPr>
            <w:tcW w:type="dxa" w:w="1417"/>
          </w:tcPr>
          <w:p>
            <w:pPr>
              <w:jc w:val="right"/>
            </w:pPr>
            <w:r/>
            <w:r>
              <w:rPr>
                <w:sz w:val="18"/>
              </w:rPr>
              <w:t>302.40</w:t>
            </w:r>
          </w:p>
        </w:tc>
        <w:tc>
          <w:tcPr>
            <w:tcW w:type="dxa" w:w="1417"/>
          </w:tcPr>
          <w:p>
            <w:r/>
            <w:r>
              <w:rPr>
                <w:sz w:val="18"/>
              </w:rPr>
              <w:t>m² techados</w:t>
            </w:r>
          </w:p>
        </w:tc>
      </w:tr>
      <w:tr>
        <w:tc>
          <w:tcPr>
            <w:tcW w:type="dxa" w:w="567"/>
          </w:tcPr>
          <w:p>
            <w:r/>
            <w:r>
              <w:rPr>
                <w:sz w:val="18"/>
              </w:rPr>
              <w:t>2</w:t>
            </w:r>
          </w:p>
        </w:tc>
        <w:tc>
          <w:tcPr>
            <w:tcW w:type="dxa" w:w="5669"/>
          </w:tcPr>
          <w:p>
            <w:r/>
            <w:r>
              <w:rPr>
                <w:sz w:val="18"/>
              </w:rPr>
              <w:t>Construcción de la Edificación 02 - Servicios higiénicos públicos</w:t>
            </w:r>
          </w:p>
        </w:tc>
        <w:tc>
          <w:tcPr>
            <w:tcW w:type="dxa" w:w="1417"/>
          </w:tcPr>
          <w:p>
            <w:pPr>
              <w:jc w:val="right"/>
            </w:pPr>
            <w:r/>
            <w:r>
              <w:rPr>
                <w:sz w:val="18"/>
              </w:rPr>
              <w:t>97.93</w:t>
            </w:r>
          </w:p>
        </w:tc>
        <w:tc>
          <w:tcPr>
            <w:tcW w:type="dxa" w:w="1417"/>
          </w:tcPr>
          <w:p>
            <w:r/>
            <w:r>
              <w:rPr>
                <w:sz w:val="18"/>
              </w:rPr>
              <w:t>m² techados</w:t>
            </w:r>
          </w:p>
        </w:tc>
      </w:tr>
      <w:tr>
        <w:tc>
          <w:tcPr>
            <w:tcW w:type="dxa" w:w="567"/>
          </w:tcPr>
          <w:p>
            <w:r/>
            <w:r>
              <w:rPr>
                <w:sz w:val="18"/>
              </w:rPr>
              <w:t>3</w:t>
            </w:r>
          </w:p>
        </w:tc>
        <w:tc>
          <w:tcPr>
            <w:tcW w:type="dxa" w:w="5669"/>
          </w:tcPr>
          <w:p>
            <w:r/>
            <w:r>
              <w:rPr>
                <w:sz w:val="18"/>
              </w:rPr>
              <w:t>Construcción de cuatro residencias de un nivel (Edificaciones 03, 04, 07 y 08)</w:t>
            </w:r>
          </w:p>
        </w:tc>
        <w:tc>
          <w:tcPr>
            <w:tcW w:type="dxa" w:w="1417"/>
          </w:tcPr>
          <w:p>
            <w:pPr>
              <w:jc w:val="right"/>
            </w:pPr>
            <w:r/>
            <w:r>
              <w:rPr>
                <w:sz w:val="18"/>
              </w:rPr>
              <w:t>1,490.89</w:t>
            </w:r>
          </w:p>
        </w:tc>
        <w:tc>
          <w:tcPr>
            <w:tcW w:type="dxa" w:w="1417"/>
          </w:tcPr>
          <w:p>
            <w:r/>
            <w:r>
              <w:rPr>
                <w:sz w:val="18"/>
              </w:rPr>
              <w:t>m² techados</w:t>
            </w:r>
          </w:p>
        </w:tc>
      </w:tr>
      <w:tr>
        <w:tc>
          <w:tcPr>
            <w:tcW w:type="dxa" w:w="567"/>
          </w:tcPr>
          <w:p>
            <w:r/>
            <w:r>
              <w:rPr>
                <w:sz w:val="18"/>
              </w:rPr>
              <w:t>4</w:t>
            </w:r>
          </w:p>
        </w:tc>
        <w:tc>
          <w:tcPr>
            <w:tcW w:type="dxa" w:w="5669"/>
          </w:tcPr>
          <w:p>
            <w:r/>
            <w:r>
              <w:rPr>
                <w:sz w:val="18"/>
              </w:rPr>
              <w:t>Construcción de la Edificación 05 - Residencia de mamás sustitutas</w:t>
            </w:r>
          </w:p>
        </w:tc>
        <w:tc>
          <w:tcPr>
            <w:tcW w:type="dxa" w:w="1417"/>
          </w:tcPr>
          <w:p>
            <w:pPr>
              <w:jc w:val="right"/>
            </w:pPr>
            <w:r/>
            <w:r>
              <w:rPr>
                <w:sz w:val="18"/>
              </w:rPr>
              <w:t>117.96</w:t>
            </w:r>
          </w:p>
        </w:tc>
        <w:tc>
          <w:tcPr>
            <w:tcW w:type="dxa" w:w="1417"/>
          </w:tcPr>
          <w:p>
            <w:r/>
            <w:r>
              <w:rPr>
                <w:sz w:val="18"/>
              </w:rPr>
              <w:t>m² techados</w:t>
            </w:r>
          </w:p>
        </w:tc>
      </w:tr>
      <w:tr>
        <w:tc>
          <w:tcPr>
            <w:tcW w:type="dxa" w:w="567"/>
          </w:tcPr>
          <w:p>
            <w:r/>
            <w:r>
              <w:rPr>
                <w:sz w:val="18"/>
              </w:rPr>
              <w:t>5</w:t>
            </w:r>
          </w:p>
        </w:tc>
        <w:tc>
          <w:tcPr>
            <w:tcW w:type="dxa" w:w="5669"/>
          </w:tcPr>
          <w:p>
            <w:r/>
            <w:r>
              <w:rPr>
                <w:sz w:val="18"/>
              </w:rPr>
              <w:t>Construcción de la Edificación 06 - Servicios higiénicos y vestidores</w:t>
            </w:r>
          </w:p>
        </w:tc>
        <w:tc>
          <w:tcPr>
            <w:tcW w:type="dxa" w:w="1417"/>
          </w:tcPr>
          <w:p>
            <w:pPr>
              <w:jc w:val="right"/>
            </w:pPr>
            <w:r/>
            <w:r>
              <w:rPr>
                <w:sz w:val="18"/>
              </w:rPr>
              <w:t>151.08</w:t>
            </w:r>
          </w:p>
        </w:tc>
        <w:tc>
          <w:tcPr>
            <w:tcW w:type="dxa" w:w="1417"/>
          </w:tcPr>
          <w:p>
            <w:r/>
            <w:r>
              <w:rPr>
                <w:sz w:val="18"/>
              </w:rPr>
              <w:t>m² techados</w:t>
            </w:r>
          </w:p>
        </w:tc>
      </w:tr>
      <w:tr>
        <w:tc>
          <w:tcPr>
            <w:tcW w:type="dxa" w:w="567"/>
          </w:tcPr>
          <w:p>
            <w:r/>
            <w:r>
              <w:rPr>
                <w:sz w:val="18"/>
              </w:rPr>
              <w:t>6</w:t>
            </w:r>
          </w:p>
        </w:tc>
        <w:tc>
          <w:tcPr>
            <w:tcW w:type="dxa" w:w="5669"/>
          </w:tcPr>
          <w:p>
            <w:r/>
            <w:r>
              <w:rPr>
                <w:sz w:val="18"/>
              </w:rPr>
              <w:t>Construcción de la Edificación 09 - SUM/comedor y cocina</w:t>
            </w:r>
          </w:p>
        </w:tc>
        <w:tc>
          <w:tcPr>
            <w:tcW w:type="dxa" w:w="1417"/>
          </w:tcPr>
          <w:p>
            <w:pPr>
              <w:jc w:val="right"/>
            </w:pPr>
            <w:r/>
            <w:r>
              <w:rPr>
                <w:sz w:val="18"/>
              </w:rPr>
              <w:t>478.96</w:t>
            </w:r>
          </w:p>
        </w:tc>
        <w:tc>
          <w:tcPr>
            <w:tcW w:type="dxa" w:w="1417"/>
          </w:tcPr>
          <w:p>
            <w:r/>
            <w:r>
              <w:rPr>
                <w:sz w:val="18"/>
              </w:rPr>
              <w:t>m² techados</w:t>
            </w:r>
          </w:p>
        </w:tc>
      </w:tr>
      <w:tr>
        <w:tc>
          <w:tcPr>
            <w:tcW w:type="dxa" w:w="567"/>
          </w:tcPr>
          <w:p>
            <w:r/>
            <w:r>
              <w:rPr>
                <w:sz w:val="18"/>
              </w:rPr>
              <w:t>7</w:t>
            </w:r>
          </w:p>
        </w:tc>
        <w:tc>
          <w:tcPr>
            <w:tcW w:type="dxa" w:w="5669"/>
          </w:tcPr>
          <w:p>
            <w:r/>
            <w:r>
              <w:rPr>
                <w:sz w:val="18"/>
              </w:rPr>
              <w:t>Construcción de la Edificación 10 - Servicios generales</w:t>
            </w:r>
          </w:p>
        </w:tc>
        <w:tc>
          <w:tcPr>
            <w:tcW w:type="dxa" w:w="1417"/>
          </w:tcPr>
          <w:p>
            <w:pPr>
              <w:jc w:val="right"/>
            </w:pPr>
            <w:r/>
            <w:r>
              <w:rPr>
                <w:sz w:val="18"/>
              </w:rPr>
              <w:t>86.11</w:t>
            </w:r>
          </w:p>
        </w:tc>
        <w:tc>
          <w:tcPr>
            <w:tcW w:type="dxa" w:w="1417"/>
          </w:tcPr>
          <w:p>
            <w:r/>
            <w:r>
              <w:rPr>
                <w:sz w:val="18"/>
              </w:rPr>
              <w:t>m² techados</w:t>
            </w:r>
          </w:p>
        </w:tc>
      </w:tr>
      <w:tr>
        <w:tc>
          <w:tcPr>
            <w:tcW w:type="dxa" w:w="567"/>
          </w:tcPr>
          <w:p>
            <w:r/>
            <w:r>
              <w:rPr>
                <w:sz w:val="18"/>
              </w:rPr>
              <w:t>8</w:t>
            </w:r>
          </w:p>
        </w:tc>
        <w:tc>
          <w:tcPr>
            <w:tcW w:type="dxa" w:w="5669"/>
          </w:tcPr>
          <w:p>
            <w:r/>
            <w:r>
              <w:rPr>
                <w:sz w:val="18"/>
              </w:rPr>
              <w:t>Construcción de la losa deportiva con cobertura metálica autosoportada</w:t>
            </w:r>
          </w:p>
        </w:tc>
        <w:tc>
          <w:tcPr>
            <w:tcW w:type="dxa" w:w="1417"/>
          </w:tcPr>
          <w:p>
            <w:pPr>
              <w:jc w:val="right"/>
            </w:pPr>
            <w:r/>
            <w:r>
              <w:rPr>
                <w:sz w:val="18"/>
              </w:rPr>
              <w:t>828.91</w:t>
            </w:r>
          </w:p>
        </w:tc>
        <w:tc>
          <w:tcPr>
            <w:tcW w:type="dxa" w:w="1417"/>
          </w:tcPr>
          <w:p>
            <w:r/>
            <w:r>
              <w:rPr>
                <w:sz w:val="18"/>
              </w:rPr>
              <w:t>m² techados</w:t>
            </w:r>
          </w:p>
        </w:tc>
      </w:tr>
      <w:tr>
        <w:tc>
          <w:tcPr>
            <w:tcW w:type="dxa" w:w="567"/>
          </w:tcPr>
          <w:p>
            <w:r/>
            <w:r>
              <w:rPr>
                <w:sz w:val="18"/>
              </w:rPr>
              <w:t>9</w:t>
            </w:r>
          </w:p>
        </w:tc>
        <w:tc>
          <w:tcPr>
            <w:tcW w:type="dxa" w:w="5669"/>
          </w:tcPr>
          <w:p>
            <w:r/>
            <w:r>
              <w:rPr>
                <w:sz w:val="18"/>
              </w:rPr>
              <w:t>Construcción de dos guardianías (ingreso principal y secundario)</w:t>
            </w:r>
          </w:p>
        </w:tc>
        <w:tc>
          <w:tcPr>
            <w:tcW w:type="dxa" w:w="1417"/>
          </w:tcPr>
          <w:p>
            <w:pPr>
              <w:jc w:val="right"/>
            </w:pPr>
            <w:r/>
            <w:r>
              <w:rPr>
                <w:sz w:val="18"/>
              </w:rPr>
              <w:t>100.34</w:t>
            </w:r>
          </w:p>
        </w:tc>
        <w:tc>
          <w:tcPr>
            <w:tcW w:type="dxa" w:w="1417"/>
          </w:tcPr>
          <w:p>
            <w:r/>
            <w:r>
              <w:rPr>
                <w:sz w:val="18"/>
              </w:rPr>
              <w:t>m² techados</w:t>
            </w:r>
          </w:p>
        </w:tc>
      </w:tr>
      <w:tr>
        <w:tc>
          <w:tcPr>
            <w:tcW w:type="dxa" w:w="567"/>
          </w:tcPr>
          <w:p>
            <w:r/>
            <w:r>
              <w:rPr>
                <w:sz w:val="18"/>
              </w:rPr>
              <w:t>10</w:t>
            </w:r>
          </w:p>
        </w:tc>
        <w:tc>
          <w:tcPr>
            <w:tcW w:type="dxa" w:w="5669"/>
          </w:tcPr>
          <w:p>
            <w:r/>
            <w:r>
              <w:rPr>
                <w:sz w:val="18"/>
              </w:rPr>
              <w:t>Veredas y circulaciones exteriores de concreto</w:t>
            </w:r>
          </w:p>
        </w:tc>
        <w:tc>
          <w:tcPr>
            <w:tcW w:type="dxa" w:w="1417"/>
          </w:tcPr>
          <w:p>
            <w:pPr>
              <w:jc w:val="right"/>
            </w:pPr>
            <w:r/>
            <w:r>
              <w:rPr>
                <w:sz w:val="18"/>
              </w:rPr>
              <w:t>816.87</w:t>
            </w:r>
          </w:p>
        </w:tc>
        <w:tc>
          <w:tcPr>
            <w:tcW w:type="dxa" w:w="1417"/>
          </w:tcPr>
          <w:p>
            <w:r/>
            <w:r>
              <w:rPr>
                <w:sz w:val="18"/>
              </w:rPr>
              <w:t>m²</w:t>
            </w:r>
          </w:p>
        </w:tc>
      </w:tr>
      <w:tr>
        <w:tc>
          <w:tcPr>
            <w:tcW w:type="dxa" w:w="567"/>
          </w:tcPr>
          <w:p>
            <w:r/>
            <w:r>
              <w:rPr>
                <w:sz w:val="18"/>
              </w:rPr>
              <w:t>11</w:t>
            </w:r>
          </w:p>
        </w:tc>
        <w:tc>
          <w:tcPr>
            <w:tcW w:type="dxa" w:w="5669"/>
          </w:tcPr>
          <w:p>
            <w:r/>
            <w:r>
              <w:rPr>
                <w:sz w:val="18"/>
              </w:rPr>
              <w:t>Estacionamientos y patio de maniobras pavimentados</w:t>
            </w:r>
          </w:p>
        </w:tc>
        <w:tc>
          <w:tcPr>
            <w:tcW w:type="dxa" w:w="1417"/>
          </w:tcPr>
          <w:p>
            <w:pPr>
              <w:jc w:val="right"/>
            </w:pPr>
            <w:r/>
            <w:r>
              <w:rPr>
                <w:sz w:val="18"/>
              </w:rPr>
              <w:t>812.65</w:t>
            </w:r>
          </w:p>
        </w:tc>
        <w:tc>
          <w:tcPr>
            <w:tcW w:type="dxa" w:w="1417"/>
          </w:tcPr>
          <w:p>
            <w:r/>
            <w:r>
              <w:rPr>
                <w:sz w:val="18"/>
              </w:rPr>
              <w:t>m²</w:t>
            </w:r>
          </w:p>
        </w:tc>
      </w:tr>
      <w:tr>
        <w:tc>
          <w:tcPr>
            <w:tcW w:type="dxa" w:w="567"/>
          </w:tcPr>
          <w:p>
            <w:r/>
            <w:r>
              <w:rPr>
                <w:sz w:val="18"/>
              </w:rPr>
              <w:t>12</w:t>
            </w:r>
          </w:p>
        </w:tc>
        <w:tc>
          <w:tcPr>
            <w:tcW w:type="dxa" w:w="5669"/>
          </w:tcPr>
          <w:p>
            <w:r/>
            <w:r>
              <w:rPr>
                <w:sz w:val="18"/>
              </w:rPr>
              <w:t>Patio de juegos</w:t>
            </w:r>
          </w:p>
        </w:tc>
        <w:tc>
          <w:tcPr>
            <w:tcW w:type="dxa" w:w="1417"/>
          </w:tcPr>
          <w:p>
            <w:pPr>
              <w:jc w:val="right"/>
            </w:pPr>
            <w:r/>
            <w:r>
              <w:rPr>
                <w:sz w:val="18"/>
              </w:rPr>
              <w:t>201.33</w:t>
            </w:r>
          </w:p>
        </w:tc>
        <w:tc>
          <w:tcPr>
            <w:tcW w:type="dxa" w:w="1417"/>
          </w:tcPr>
          <w:p>
            <w:r/>
            <w:r>
              <w:rPr>
                <w:sz w:val="18"/>
              </w:rPr>
              <w:t>m²</w:t>
            </w:r>
          </w:p>
        </w:tc>
      </w:tr>
      <w:tr>
        <w:tc>
          <w:tcPr>
            <w:tcW w:type="dxa" w:w="567"/>
          </w:tcPr>
          <w:p>
            <w:r/>
            <w:r>
              <w:rPr>
                <w:sz w:val="18"/>
              </w:rPr>
              <w:t>13</w:t>
            </w:r>
          </w:p>
        </w:tc>
        <w:tc>
          <w:tcPr>
            <w:tcW w:type="dxa" w:w="5669"/>
          </w:tcPr>
          <w:p>
            <w:r/>
            <w:r>
              <w:rPr>
                <w:sz w:val="18"/>
              </w:rPr>
              <w:t>Áreas verdes y arborización</w:t>
            </w:r>
          </w:p>
        </w:tc>
        <w:tc>
          <w:tcPr>
            <w:tcW w:type="dxa" w:w="1417"/>
          </w:tcPr>
          <w:p>
            <w:pPr>
              <w:jc w:val="right"/>
            </w:pPr>
            <w:r/>
            <w:r>
              <w:rPr>
                <w:sz w:val="18"/>
              </w:rPr>
              <w:t>2,206.56</w:t>
            </w:r>
          </w:p>
        </w:tc>
        <w:tc>
          <w:tcPr>
            <w:tcW w:type="dxa" w:w="1417"/>
          </w:tcPr>
          <w:p>
            <w:r/>
            <w:r>
              <w:rPr>
                <w:sz w:val="18"/>
              </w:rPr>
              <w:t>m²</w:t>
            </w:r>
          </w:p>
        </w:tc>
      </w:tr>
      <w:tr>
        <w:tc>
          <w:tcPr>
            <w:tcW w:type="dxa" w:w="567"/>
          </w:tcPr>
          <w:p>
            <w:r/>
            <w:r>
              <w:rPr>
                <w:sz w:val="18"/>
              </w:rPr>
              <w:t>14</w:t>
            </w:r>
          </w:p>
        </w:tc>
        <w:tc>
          <w:tcPr>
            <w:tcW w:type="dxa" w:w="5669"/>
          </w:tcPr>
          <w:p>
            <w:r/>
            <w:r>
              <w:rPr>
                <w:sz w:val="18"/>
              </w:rPr>
              <w:t>Cerco perimétrico y portadas de ingreso</w:t>
            </w:r>
          </w:p>
        </w:tc>
        <w:tc>
          <w:tcPr>
            <w:tcW w:type="dxa" w:w="1417"/>
          </w:tcPr>
          <w:p>
            <w:r/>
            <w:r>
              <w:rPr>
                <w:sz w:val="18"/>
              </w:rPr>
              <w:t>1</w:t>
            </w:r>
          </w:p>
        </w:tc>
        <w:tc>
          <w:tcPr>
            <w:tcW w:type="dxa" w:w="1417"/>
          </w:tcPr>
          <w:p>
            <w:r/>
            <w:r>
              <w:rPr>
                <w:sz w:val="18"/>
              </w:rPr>
              <w:t>glb</w:t>
            </w:r>
          </w:p>
        </w:tc>
      </w:tr>
      <w:tr>
        <w:tc>
          <w:tcPr>
            <w:tcW w:type="dxa" w:w="567"/>
          </w:tcPr>
          <w:p>
            <w:r/>
            <w:r>
              <w:rPr>
                <w:sz w:val="18"/>
              </w:rPr>
              <w:t>15</w:t>
            </w:r>
          </w:p>
        </w:tc>
        <w:tc>
          <w:tcPr>
            <w:tcW w:type="dxa" w:w="5669"/>
          </w:tcPr>
          <w:p>
            <w:r/>
            <w:r>
              <w:rPr>
                <w:sz w:val="18"/>
              </w:rPr>
              <w:t>Instalaciones sanitarias interiores y exteriores, con pozo séptico</w:t>
            </w:r>
          </w:p>
        </w:tc>
        <w:tc>
          <w:tcPr>
            <w:tcW w:type="dxa" w:w="1417"/>
          </w:tcPr>
          <w:p>
            <w:r/>
            <w:r>
              <w:rPr>
                <w:sz w:val="18"/>
              </w:rPr>
              <w:t>1</w:t>
            </w:r>
          </w:p>
        </w:tc>
        <w:tc>
          <w:tcPr>
            <w:tcW w:type="dxa" w:w="1417"/>
          </w:tcPr>
          <w:p>
            <w:r/>
            <w:r>
              <w:rPr>
                <w:sz w:val="18"/>
              </w:rPr>
              <w:t>glb</w:t>
            </w:r>
          </w:p>
        </w:tc>
      </w:tr>
      <w:tr>
        <w:tc>
          <w:tcPr>
            <w:tcW w:type="dxa" w:w="567"/>
          </w:tcPr>
          <w:p>
            <w:r/>
            <w:r>
              <w:rPr>
                <w:sz w:val="18"/>
              </w:rPr>
              <w:t>16</w:t>
            </w:r>
          </w:p>
        </w:tc>
        <w:tc>
          <w:tcPr>
            <w:tcW w:type="dxa" w:w="5669"/>
          </w:tcPr>
          <w:p>
            <w:r/>
            <w:r>
              <w:rPr>
                <w:sz w:val="18"/>
              </w:rPr>
              <w:t>Instalaciones eléctricas interiores y exteriores</w:t>
            </w:r>
          </w:p>
        </w:tc>
        <w:tc>
          <w:tcPr>
            <w:tcW w:type="dxa" w:w="1417"/>
          </w:tcPr>
          <w:p>
            <w:r/>
            <w:r>
              <w:rPr>
                <w:sz w:val="18"/>
              </w:rPr>
              <w:t>1</w:t>
            </w:r>
          </w:p>
        </w:tc>
        <w:tc>
          <w:tcPr>
            <w:tcW w:type="dxa" w:w="1417"/>
          </w:tcPr>
          <w:p>
            <w:r/>
            <w:r>
              <w:rPr>
                <w:sz w:val="18"/>
              </w:rPr>
              <w:t>glb</w:t>
            </w:r>
          </w:p>
        </w:tc>
      </w:tr>
      <w:tr>
        <w:tc>
          <w:tcPr>
            <w:tcW w:type="dxa" w:w="567"/>
          </w:tcPr>
          <w:p>
            <w:r/>
            <w:r>
              <w:rPr>
                <w:sz w:val="18"/>
              </w:rPr>
              <w:t>17</w:t>
            </w:r>
          </w:p>
        </w:tc>
        <w:tc>
          <w:tcPr>
            <w:tcW w:type="dxa" w:w="5669"/>
          </w:tcPr>
          <w:p>
            <w:r/>
            <w:r>
              <w:rPr>
                <w:sz w:val="18"/>
              </w:rPr>
              <w:t>Sistema de drenaje pluvial: canaletas, montantes y cunetas de piso en trece sectores</w:t>
            </w:r>
          </w:p>
        </w:tc>
        <w:tc>
          <w:tcPr>
            <w:tcW w:type="dxa" w:w="1417"/>
          </w:tcPr>
          <w:p>
            <w:r/>
            <w:r>
              <w:rPr>
                <w:sz w:val="18"/>
              </w:rPr>
              <w:t>1</w:t>
            </w:r>
          </w:p>
        </w:tc>
        <w:tc>
          <w:tcPr>
            <w:tcW w:type="dxa" w:w="1417"/>
          </w:tcPr>
          <w:p>
            <w:r/>
            <w:r>
              <w:rPr>
                <w:sz w:val="18"/>
              </w:rPr>
              <w:t>glb</w:t>
            </w:r>
          </w:p>
        </w:tc>
      </w:tr>
      <w:tr>
        <w:tc>
          <w:tcPr>
            <w:tcW w:type="dxa" w:w="567"/>
          </w:tcPr>
          <w:p>
            <w:r/>
            <w:r>
              <w:rPr>
                <w:sz w:val="18"/>
              </w:rPr>
              <w:t>18</w:t>
            </w:r>
          </w:p>
        </w:tc>
        <w:tc>
          <w:tcPr>
            <w:tcW w:type="dxa" w:w="5669"/>
          </w:tcPr>
          <w:p>
            <w:r/>
            <w:r>
              <w:rPr>
                <w:sz w:val="18"/>
              </w:rPr>
              <w:t>Colector pluvial frontal de concreto armado y estructura de salida</w:t>
            </w:r>
          </w:p>
        </w:tc>
        <w:tc>
          <w:tcPr>
            <w:tcW w:type="dxa" w:w="1417"/>
          </w:tcPr>
          <w:p>
            <w:r/>
            <w:r>
              <w:rPr>
                <w:sz w:val="18"/>
              </w:rPr>
              <w:t>1</w:t>
            </w:r>
          </w:p>
        </w:tc>
        <w:tc>
          <w:tcPr>
            <w:tcW w:type="dxa" w:w="1417"/>
          </w:tcPr>
          <w:p>
            <w:r/>
            <w:r>
              <w:rPr>
                <w:sz w:val="18"/>
              </w:rPr>
              <w:t>glb</w:t>
            </w:r>
          </w:p>
        </w:tc>
      </w:tr>
    </w:tbl>
    <w:p>
      <w:pPr>
        <w:spacing w:after="40"/>
      </w:pPr>
    </w:p>
    <w:p>
      <w:pPr>
        <w:spacing w:after="120"/>
        <w:jc w:val="both"/>
      </w:pPr>
      <w:r>
        <w:rPr>
          <w:b w:val="0"/>
        </w:rPr>
        <w:t>Total de área techada por construir: 3,654.58 m², en un solo nivel.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