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del terreno terminado del frente y del piso de los ingresos (NPT 260.60 msnm). Entre el muro del colector y el cimiento del cerco se deja una junta longitudinal de tecnopor de 1" con sellador asfáltico; al otro lado del colector hay terreno natural, sin vereda ni piso.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terreno natural,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del terreno terminado)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del terreno terminado del frente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0.62 m, contramarco de ángulo de 1 ½" × 1 ½" × 1/8"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sellador asfáltico de 1" × 2" (asfalto líquido RC-250 + arena gruesa); junta longitudinal de tecnopor de 1" con el mismo sellador en su cara superior entre el colector y el cimiento del cerco, en todo el tramo pegado al cerco; al otro lado hay terreno natural, sin junta.</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DD-01 a DD-04 desarrollan el detalle constructivo de cada una de estas partidas (contramarco, marco y tapa, juntas y empalme de cuneta): despiece, dimensiones, procedimiento y cuadro de componentes por unidad para los análisis de costos unitarios.</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82.76</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98.54</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35.86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585.23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3056.45</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390.60</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