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Instructivo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ab/>
        <w:t xml:space="preserve">Para la correcta importación de la base de datos </w:t>
      </w:r>
      <w:r w:rsidDel="00000000" w:rsidR="00000000" w:rsidRPr="00000000">
        <w:rPr>
          <w:rtl w:val="0"/>
        </w:rPr>
        <w:t xml:space="preserve">juegos_ecommerce</w:t>
      </w:r>
      <w:r w:rsidDel="00000000" w:rsidR="00000000" w:rsidRPr="00000000">
        <w:rPr>
          <w:rtl w:val="0"/>
        </w:rPr>
        <w:t xml:space="preserve">, se genera a continuación una lista del orden en que se debe de importar cada archivo así como el nombre del mismo: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1.Scheme_juegos_ecommerce.sql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2.Data_juegos_ecommerce.sql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3.Trigger.sql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4.Vistas.sql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5.Funciones.sql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6.Stored_Procedure.sql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7.TCL.sql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8.DCL.sql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Estos archivos se encuentra en la siguiente carpeta: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Documentacion Tecnica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YJkiHuzOcPPxx76EcEDizloncvmgYi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