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b/>
          <w:bCs/>
          <w:color w:val="1F4E5F"/>
          <w:sz w:val="40"/>
          <w:szCs w:val="40"/>
        </w:rPr>
        <w:t xml:space="preserve">Gestão Fácil</w:t>
      </w:r>
    </w:p>
    <w:p>
      <w:pPr>
        <w:spacing w:after="40"/>
      </w:pPr>
      <w:r>
        <w:rPr>
          <w:color w:val="404040"/>
          <w:sz w:val="28"/>
          <w:szCs w:val="28"/>
        </w:rPr>
        <w:t xml:space="preserve">Relatório de entrega</w:t>
      </w:r>
    </w:p>
    <w:p>
      <w:pPr>
        <w:spacing w:after="300"/>
      </w:pPr>
      <w:r>
        <w:rPr>
          <w:i/>
          <w:iCs/>
          <w:color w:val="595959"/>
          <w:sz w:val="21"/>
          <w:szCs w:val="21"/>
        </w:rPr>
        <w:t xml:space="preserve">Sprint 1 — Card #001: Desenvolvimento da tela de login (front e backend)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63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Card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#001 — Desenvolvimento da tela de login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Requisito atendido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RF01 do documento de requisitos v1.2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Analista de Requisitos (PO)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Victor Ruan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Desenvolvedores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Victor Ruan e José A. Damasceno Lopes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Analista de Qualidade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Leonardo Almeida Silva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Repositório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github.com/josedmsc2007/gestao_facil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Situação</w:t>
            </w:r>
          </w:p>
        </w:tc>
        <w:tc>
          <w:tcPr>
            <w:tcW w:type="dxa" w:w="6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Concluído, com uma pendência registrada no capítulo 8</w:t>
            </w:r>
          </w:p>
        </w:tc>
      </w:tr>
    </w:tbl>
    <w:p>
      <w:pPr>
        <w:pStyle w:val="Heading1"/>
        <w:spacing w:after="150" w:before="360"/>
      </w:pPr>
      <w:r>
        <w:rPr>
          <w:b/>
          <w:bCs/>
          <w:color w:val="1F4E5F"/>
          <w:sz w:val="28"/>
          <w:szCs w:val="28"/>
        </w:rPr>
        <w:t xml:space="preserve">1. Objetivo do card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Antes desta entrega o sistema não possuía mecanismo de autenticação: qualquer endereço era acessível. O card #001 teve como objetivo implementar o controle de acesso do Gestão Fácil, garantindo que apenas usuários cadastrados entrem no sistema e que cada um acesse somente os dados da empresa a que pertence.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tela de login é também o primeiro ponto em que o modelo multiempresa aparece na prática, e por isso esta entrega define padrões que os demais cards vão seguir.</w:t>
      </w:r>
    </w:p>
    <w:p>
      <w:pPr>
        <w:pStyle w:val="Heading1"/>
        <w:spacing w:after="150" w:before="360"/>
      </w:pPr>
      <w:r>
        <w:rPr>
          <w:b/>
          <w:bCs/>
          <w:color w:val="1F4E5F"/>
          <w:sz w:val="28"/>
          <w:szCs w:val="28"/>
        </w:rPr>
        <w:t xml:space="preserve">2. Funcionalidades entregues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Autenticação por usuário e senha, com a empresa identificada pelo endereço de acesso.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Endereço próprio por empresa, no formato /{identificador}/login, que é o endereço adicionado à tela inicial do celular pelo funcionário.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Tela de login alternativa, sem empresa no endereço, com campo adicional para informá-la.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Mensagem de erro genérica, que não revela se a falha foi no usuário ou na senha.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Redirecionamento automático conforme o perfil: Administrador vai para o painel, Motorista vai para a tela de lançamentos.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Bloqueio da conta após cinco tentativas inválidas consecutivas, pelo prazo de trinta minutos.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Tela para o Administrador desbloquear contas antes do fim do prazo.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Troca obrigatória de senha no primeiro acesso feito com senha temporária.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Encerramento de sessão pela opção Sair, com retorno à tela de login da empresa.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Telas construídas com Bootstrap, adaptadas ao uso em celular.</w:t>
      </w:r>
    </w:p>
    <w:p>
      <w:pPr>
        <w:pStyle w:val="Heading1"/>
        <w:spacing w:after="150" w:before="360"/>
      </w:pPr>
      <w:r>
        <w:rPr>
          <w:b/>
          <w:bCs/>
          <w:color w:val="1F4E5F"/>
          <w:sz w:val="28"/>
          <w:szCs w:val="28"/>
        </w:rPr>
        <w:t xml:space="preserve">3. Organização do código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 projeto segue o padrão MVC do Spring Boot. O card #001 acrescentou um pacote security, que concentra tudo o que é específico da autenticação, mantendo o restante do sistema sem conhecimento dessa complexidade.</w:t>
      </w:r>
    </w:p>
    <w:p>
      <w:pPr>
        <w:spacing w:after="90" w:before="240"/>
      </w:pPr>
      <w:r>
        <w:rPr>
          <w:b/>
          <w:bCs/>
          <w:sz w:val="23"/>
          <w:szCs w:val="23"/>
        </w:rPr>
        <w:t xml:space="preserve">Pacote security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Classe</w:t>
            </w:r>
          </w:p>
        </w:tc>
        <w:tc>
          <w:tcPr>
            <w:tcW w:type="dxa" w:w="56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AutenticacaoPorEmpresaProvider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Confere, nesta ordem: se a empresa do endereço existe, se há usuário com aquele login dentro dela, se o usuário está ativo e se a senha confere com o hash. É o núcleo da autenticação.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DetalhesLoginEmpresa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Transporta a empresa vinda do formulário até o provider, já que o Spring Security trabalha apenas com usuário e senha.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EntradaNoLoginPorEmpresa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Decide para qual tela de login enviar quem tenta acessar o sistema sem estar autenticado.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AutenticacaoFalhaHandler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Devolve o usuário para a tela de login da empresa correta quando o login falha, preservando o endereço da empresa.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SaidaPorEmpresaHandler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Após o logout, devolve o usuário à tela de login da sua empresa.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SenhaTemporariaInterceptor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Impede o acesso a qualquer tela enquanto a senha temporária não for trocada.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UsuarioAutenticado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Representa o usuário logado na sessão, com empresa, perfil e situação da senha.</w:t>
            </w:r>
          </w:p>
        </w:tc>
      </w:tr>
    </w:tbl>
    <w:p>
      <w:pPr>
        <w:spacing w:after="90" w:before="240"/>
      </w:pPr>
      <w:r>
        <w:rPr>
          <w:b/>
          <w:bCs/>
          <w:sz w:val="23"/>
          <w:szCs w:val="23"/>
        </w:rPr>
        <w:t xml:space="preserve">Demais pacotes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Classe</w:t>
            </w:r>
          </w:p>
        </w:tc>
        <w:tc>
          <w:tcPr>
            <w:tcW w:type="dxa" w:w="56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SecurityConfig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Define quais endereços são públicos, quais exigem login e quais exigem cada perfil. Também configura o algoritmo de hash das senhas.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WebMvcConfig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 o interceptor da senha temporária.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ControleDeTentativasService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Conta as tentativas inválidas, aplica o bloqueio, calcula o tempo restante e executa o desbloqueio.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UsuarioService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Regras do usuário, entre elas a definição de uma nova senha definitiva.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LoginController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Exibe as telas de login, com e sem empresa no endereço.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InicioController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Encaminha o usuário recém-logado para a tela do seu perfil e exibe painel e lançamentos.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TrocaSenhaController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Exibe e processa a tela de troca de senha.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UsuarioBloqueioController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Lista as contas bloqueadas e executa o desbloqueio pelo Administrador.</w:t>
            </w:r>
          </w:p>
        </w:tc>
      </w:tr>
    </w:tbl>
    <w:p>
      <w:pPr>
        <w:spacing w:after="90" w:before="240"/>
      </w:pPr>
      <w:r>
        <w:rPr>
          <w:b/>
          <w:bCs/>
          <w:sz w:val="23"/>
          <w:szCs w:val="23"/>
        </w:rPr>
        <w:t xml:space="preserve">Telas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Arquivo</w:t>
            </w:r>
          </w:p>
        </w:tc>
        <w:tc>
          <w:tcPr>
            <w:tcW w:type="dxa" w:w="56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Tela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login/login.html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Tela de login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login/trocar-senha.html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Troca obrigatória de senha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painel/painel.html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Tela inicial do Administrador (provisória)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painel/lancamentos.html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Tela inicial do Motorista (provisória)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usuarios/bloqueados.html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Contas bloqueadas, com a ação de desbloquear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fragmentos/barra.html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Barra superior reaproveitada pelas telas internas</w:t>
            </w:r>
          </w:p>
        </w:tc>
      </w:tr>
    </w:tbl>
    <w:p>
      <w:pPr>
        <w:pStyle w:val="Heading1"/>
        <w:spacing w:after="150" w:before="360"/>
      </w:pPr>
      <w:r>
        <w:rPr>
          <w:b/>
          <w:bCs/>
          <w:color w:val="1F4E5F"/>
          <w:sz w:val="28"/>
          <w:szCs w:val="28"/>
        </w:rPr>
        <w:t xml:space="preserve">4. Decisões técnicas e justificativas</w:t>
      </w:r>
    </w:p>
    <w:p>
      <w:pPr>
        <w:spacing w:after="90" w:before="240"/>
      </w:pPr>
      <w:r>
        <w:rPr>
          <w:b/>
          <w:bCs/>
          <w:sz w:val="23"/>
          <w:szCs w:val="23"/>
        </w:rPr>
        <w:t xml:space="preserve">Autenticação própria em vez da padrão do Spring Security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 componente pronto do Spring Security localiza o usuário por um único texto. Como o sistema é multiempresa e o login é único apenas dentro de cada empresa, foi necessário escrever um provedor próprio, capaz de procurar pela combinação de empresa e login. Essa foi a parte de maior esforço técnico da sprint.</w:t>
      </w:r>
    </w:p>
    <w:p>
      <w:pPr>
        <w:spacing w:after="90" w:before="240"/>
      </w:pPr>
      <w:r>
        <w:rPr>
          <w:b/>
          <w:bCs/>
          <w:sz w:val="23"/>
          <w:szCs w:val="23"/>
        </w:rPr>
        <w:t xml:space="preserve">Empresa no endereço, não no formulário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empresa poderia ser um terceiro campo na tela. Optou-se por identificá-la pelo endereço de acesso porque os usuários finais são motoristas com pouca familiaridade com tecnologia: o atalho instalado no celular já carrega a empresa, e a tela continua pedindo apenas usuário e senha.</w:t>
      </w:r>
    </w:p>
    <w:p>
      <w:pPr>
        <w:spacing w:after="90" w:before="240"/>
      </w:pPr>
      <w:r>
        <w:rPr>
          <w:b/>
          <w:bCs/>
          <w:sz w:val="23"/>
          <w:szCs w:val="23"/>
        </w:rPr>
        <w:t xml:space="preserve">Mensagem de erro única para todas as falhas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Usuário inexistente, senha errada, empresa inválida e conta inativa produzem exatamente a mesma mensagem. Informar qual dos campos falhou entregaria a quem tenta adivinhar metade da resposta, permitindo descobrir quais logins existem. A mensagem foi definida como constante no código justamente para que nenhuma alteração futura a torne mais específica por engano.</w:t>
      </w:r>
    </w:p>
    <w:p>
      <w:pPr>
        <w:pBdr>
          <w:left w:val="single" w:color="A85815" w:sz="12" w:space="8"/>
        </w:pBdr>
        <w:spacing w:after="170" w:before="110"/>
        <w:ind w:left="200"/>
      </w:pPr>
      <w:r>
        <w:rPr>
          <w:b/>
          <w:bCs/>
          <w:color w:val="A85815"/>
          <w:sz w:val="19"/>
          <w:szCs w:val="19"/>
        </w:rPr>
        <w:t xml:space="preserve">Exceção registrada: </w:t>
      </w:r>
      <w:r>
        <w:rPr>
          <w:sz w:val="19"/>
          <w:szCs w:val="19"/>
        </w:rPr>
        <w:t xml:space="preserve">A conta bloqueada tem mensagem própria, informando o bloqueio. Isso contraria a regra da mensagem genérica e foi uma escolha deliberada: sem esse aviso, o funcionário continuaria tentando a senha correta sem entender por que ela parou de funcionar. O custo é que a mensagem confirma a existência daquela conta, e esse custo foi considerado aceitável diante do perfil dos usuários.</w:t>
      </w:r>
    </w:p>
    <w:p>
      <w:pPr>
        <w:spacing w:after="90" w:before="240"/>
      </w:pPr>
      <w:r>
        <w:rPr>
          <w:b/>
          <w:bCs/>
          <w:sz w:val="23"/>
          <w:szCs w:val="23"/>
        </w:rPr>
        <w:t xml:space="preserve">Bloqueio por comparação de data, sem tarefa agendada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 bloqueio é registrado gravando no usuário a data e hora até quando a conta fica fechada. A verificação compara esse valor com o relógio no momento do login, de modo que o bloqueio vence sozinho. Não foi necessário criar nenhuma rotina agendada para limpar o campo.</w:t>
      </w:r>
    </w:p>
    <w:p>
      <w:pPr>
        <w:spacing w:after="90" w:before="240"/>
      </w:pPr>
      <w:r>
        <w:rPr>
          <w:b/>
          <w:bCs/>
          <w:sz w:val="23"/>
          <w:szCs w:val="23"/>
        </w:rPr>
        <w:t xml:space="preserve">Verificação a cada requisição, e não apenas no login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troca obrigatória de senha temporária é garantida por um interceptor que roda antes de cada requisição. Redirecionar apenas no momento do login não bastaria, pois o usuário poderia digitar o endereço de outra tela diretamente na barra do navegador e contornar a regra.</w:t>
      </w:r>
    </w:p>
    <w:p>
      <w:pPr>
        <w:spacing w:after="90" w:before="240"/>
      </w:pPr>
      <w:r>
        <w:rPr>
          <w:b/>
          <w:bCs/>
          <w:sz w:val="23"/>
          <w:szCs w:val="23"/>
        </w:rPr>
        <w:t xml:space="preserve">Proteção contra redirecionamento para fora do sistema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 endereço de retorno após uma falha de login é montado a partir do campo de empresa enviado pelo formulário. Como esse valor vem do usuário, ele é conferido antes de ser usado, aceitando apenas letras minúsculas, números e hífen. Sem essa conferência, seria possível enviar um endereço externo e fazer o sistema redirecionar o usuário para fora — falha conhecida como open redirect.</w:t>
      </w:r>
    </w:p>
    <w:p>
      <w:pPr>
        <w:spacing w:after="90" w:before="240"/>
      </w:pPr>
      <w:r>
        <w:rPr>
          <w:b/>
          <w:bCs/>
          <w:sz w:val="23"/>
          <w:szCs w:val="23"/>
        </w:rPr>
        <w:t xml:space="preserve">Isolamento entre empresas aplicado também no acesso por identificador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As consultas por identificador conferem a empresa do usuário logado, e não apenas o identificador do registro. A regra vale inclusive quando o identificador vem da sessão, e não da URL, de modo que nenhuma falha futura permita alcançar dados de outra empresa.</w:t>
      </w:r>
    </w:p>
    <w:p>
      <w:pPr>
        <w:pStyle w:val="Heading1"/>
        <w:spacing w:after="150" w:before="360"/>
      </w:pPr>
      <w:r>
        <w:rPr>
          <w:b/>
          <w:bCs/>
          <w:color w:val="1F4E5F"/>
          <w:sz w:val="28"/>
          <w:szCs w:val="28"/>
        </w:rPr>
        <w:t xml:space="preserve">5. Alterações no banco de dados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tabela usuario recebeu dois campos, necessários para a regra de bloqueio por tentativas inválidas: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00"/>
      </w:tblGrid>
      <w:tr>
        <w:tc>
          <w:tcPr>
            <w:tcW w:type="dxa" w:w="28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42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tentativas_invalidas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Quantidade de senhas erradas consecutivas. Volta a zero em qualquer login bem-sucedido.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bloqueado_ate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e hora até quando a conta permanece bloqueada. Nulo indica conta liberada.</w:t>
            </w:r>
          </w:p>
        </w:tc>
      </w:tr>
    </w:tbl>
    <w:p>
      <w:pPr>
        <w:spacing w:after="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 modelo de dados do projeto foi atualizado com esses dois campos. Nenhuma tabela nova foi criada nesta sprint.</w:t>
      </w:r>
    </w:p>
    <w:p>
      <w:pPr>
        <w:pStyle w:val="Heading1"/>
        <w:spacing w:after="150" w:before="360"/>
      </w:pPr>
      <w:r>
        <w:rPr>
          <w:b/>
          <w:bCs/>
          <w:color w:val="1F4E5F"/>
          <w:sz w:val="28"/>
          <w:szCs w:val="28"/>
        </w:rPr>
        <w:t xml:space="preserve">6. Rastreabilidade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Relação entre cada item do card e o ponto do sistema em que ele foi implementado.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00"/>
      </w:tblGrid>
      <w:tr>
        <w:tc>
          <w:tcPr>
            <w:tcW w:type="dxa" w:w="21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Item do card</w:t>
            </w:r>
          </w:p>
        </w:tc>
        <w:tc>
          <w:tcPr>
            <w:tcW w:type="dxa" w:w="69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foi implementado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#001-RF01</w:t>
            </w:r>
          </w:p>
        </w:tc>
        <w:tc>
          <w:tcPr>
            <w:tcW w:type="dxa" w:w="6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AutenticacaoPorEmpresaProvider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#001-RF02</w:t>
            </w:r>
          </w:p>
        </w:tc>
        <w:tc>
          <w:tcPr>
            <w:tcW w:type="dxa" w:w="6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LoginController, EntradaNoLoginPorEmpresa e AutenticacaoFalhaHandler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#001-RF03</w:t>
            </w:r>
          </w:p>
        </w:tc>
        <w:tc>
          <w:tcPr>
            <w:tcW w:type="dxa" w:w="6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Validação nos formulários e no SecurityConfig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#001-RF04</w:t>
            </w:r>
          </w:p>
        </w:tc>
        <w:tc>
          <w:tcPr>
            <w:tcW w:type="dxa" w:w="6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Constante de mensagem única no AutenticacaoPorEmpresaProvider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#001-RF05</w:t>
            </w:r>
          </w:p>
        </w:tc>
        <w:tc>
          <w:tcPr>
            <w:tcW w:type="dxa" w:w="6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SecurityConfig e SaidaPorEmpresaHandler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#001-RF06</w:t>
            </w:r>
          </w:p>
        </w:tc>
        <w:tc>
          <w:tcPr>
            <w:tcW w:type="dxa" w:w="6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Parcial — ver capítulo 8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#001-RF07</w:t>
            </w:r>
          </w:p>
        </w:tc>
        <w:tc>
          <w:tcPr>
            <w:tcW w:type="dxa" w:w="6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SenhaTemporariaInterceptor, TrocaSenhaController e UsuarioService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RN001 e RN002</w:t>
            </w:r>
          </w:p>
        </w:tc>
        <w:tc>
          <w:tcPr>
            <w:tcW w:type="dxa" w:w="6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Campos obrigatórios nos formulários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RN003</w:t>
            </w:r>
          </w:p>
        </w:tc>
        <w:tc>
          <w:tcPr>
            <w:tcW w:type="dxa" w:w="6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TrocaSenhaForm, na tela de definição de senha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RN004</w:t>
            </w:r>
          </w:p>
        </w:tc>
        <w:tc>
          <w:tcPr>
            <w:tcW w:type="dxa" w:w="6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ControleDeTentativasService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RN005</w:t>
            </w:r>
          </w:p>
        </w:tc>
        <w:tc>
          <w:tcPr>
            <w:tcW w:type="dxa" w:w="6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UsuarioBloqueioController e tela de contas bloqueadas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RN006</w:t>
            </w:r>
          </w:p>
        </w:tc>
        <w:tc>
          <w:tcPr>
            <w:tcW w:type="dxa" w:w="6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InicioController e regras por perfil no SecurityConfig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RN007</w:t>
            </w:r>
          </w:p>
        </w:tc>
        <w:tc>
          <w:tcPr>
            <w:tcW w:type="dxa" w:w="6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Restrição de unicidade uk_usuario_empresa_login no banco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RN008</w:t>
            </w:r>
          </w:p>
        </w:tc>
        <w:tc>
          <w:tcPr>
            <w:tcW w:type="dxa" w:w="6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AutenticacaoPorEmpresaProvider e consultas por empresa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RN009</w:t>
            </w:r>
          </w:p>
        </w:tc>
        <w:tc>
          <w:tcPr>
            <w:tcW w:type="dxa" w:w="6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Conferência de usuário ativo no provider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RN010</w:t>
            </w:r>
          </w:p>
        </w:tc>
        <w:tc>
          <w:tcPr>
            <w:tcW w:type="dxa" w:w="6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PasswordEncoder BCrypt, no SecurityConfig e no UsuarioService</w:t>
            </w:r>
          </w:p>
        </w:tc>
      </w:tr>
    </w:tbl>
    <w:p>
      <w:pPr>
        <w:pStyle w:val="Heading1"/>
        <w:spacing w:after="150" w:before="360"/>
      </w:pPr>
      <w:r>
        <w:rPr>
          <w:b/>
          <w:bCs/>
          <w:color w:val="1F4E5F"/>
          <w:sz w:val="28"/>
          <w:szCs w:val="28"/>
        </w:rPr>
        <w:t xml:space="preserve">7. Testes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Foi elaborado um plano de testes com vinte casos, derivados dos critérios de aceitação do card, documentado em arquivo próprio. Os casos cobrem login válido e inválido, mensagem genérica, redirecionamento por perfil, isolamento entre empresas, usuário inativo, senha temporária, bloqueio, desbloqueio, logout e uso em tela de celular.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Dois casos ficaram bloqueados nesta sprint por dependerem de um usuário com perfil Motorista, que só poderá ser criado quando o cadastro de usuários for entregue no card #003.</w:t>
      </w:r>
    </w:p>
    <w:p>
      <w:pPr>
        <w:pStyle w:val="Heading1"/>
        <w:spacing w:after="150" w:before="360"/>
      </w:pPr>
      <w:r>
        <w:rPr>
          <w:b/>
          <w:bCs/>
          <w:color w:val="1F4E5F"/>
          <w:sz w:val="28"/>
          <w:szCs w:val="28"/>
        </w:rPr>
        <w:t xml:space="preserve">8. Pendências e escopo não coberto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O requisito #001-RF06, que prevê a geração de senha temporária pelo Administrador, teve o mecanismo implementado (marcação de senha temporária e troca obrigatória), mas ainda não possui tela para o Administrador acioná-lo. Essa tela faz parte do card #003, onde está registrada como #003-RF04.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As telas de painel e de lançamentos foram entregues em versão provisória, apenas para comprovar o redirecionamento por perfil. O conteúdo real de cada uma pertence a cards futuros.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 página exibida quando um perfil tenta acessar a área do outro é a página de erro padrão do framework. Substituí-la por uma tela própria está previsto como melhoria.</w:t>
      </w:r>
    </w:p>
    <w:p>
      <w:pPr>
        <w:pStyle w:val="Heading1"/>
        <w:spacing w:after="150" w:before="360"/>
      </w:pPr>
      <w:r>
        <w:rPr>
          <w:b/>
          <w:bCs/>
          <w:color w:val="1F4E5F"/>
          <w:sz w:val="28"/>
          <w:szCs w:val="28"/>
        </w:rPr>
        <w:t xml:space="preserve">9. Conclusão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 controle de acesso do sistema está operacional e atende aos requisitos previstos no card, com uma pendência de interface registrada e endereçada ao card #003. Além da funcionalidade, a sprint estabeleceu os padrões que os próximos cards vão seguir: a separação entre controller, service e repositório, o isolamento por empresa em todas as consultas, a exclusão lógica em vez da remoção de registros e o uso de hash para senhas.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2026-09-11T23:33:52.469Z</dcterms:created>
  <dcterms:modified xsi:type="dcterms:W3CDTF">2026-09-11T23:33:52.482Z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