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Documento metodológico del modelo de PD de hipotecas - Banco Ficticio S.A.</w:t>
      </w:r>
    </w:p>
    <w:p>
      <w:r>
        <w:t>Documento ficticio redactado para demostrar el sistema. Banco Ficticio S.A. no existe.</w:t>
      </w:r>
    </w:p>
    <w:p>
      <w:pPr>
        <w:pStyle w:val="Heading2"/>
      </w:pPr>
      <w:r>
        <w:t>1. Definición de default</w:t>
      </w:r>
    </w:p>
    <w:p>
      <w:r>
        <w:t>El modelo considera en default a los préstamos hipotecarios con más de 90 días de impago en un importe significativo, así como a las operaciones en las que se identifica improbabilidad de pago, por ejemplo por concurso del deudor o refinanciación forzosa. La misma definición se utiliza en el desarrollo del modelo y en la gestión diaria del riesgo de la cartera.</w:t>
      </w:r>
    </w:p>
    <w:p>
      <w:pPr>
        <w:pStyle w:val="Heading2"/>
      </w:pPr>
      <w:r>
        <w:t>2. Muestra de desarrollo</w:t>
      </w:r>
    </w:p>
    <w:p>
      <w:r>
        <w:t>La tasa media de default a largo plazo se ha calculado con la muestra disponible entre enero de 2021 y diciembre de 2023, es decir, tres años de observación. Los años anteriores se han descartado porque procedían de un sistema informático antiguo, sin que se haya documentado un análisis del impacto de esta exclusión.</w:t>
      </w:r>
    </w:p>
    <w:p>
      <w:pPr>
        <w:pStyle w:val="Heading2"/>
      </w:pPr>
      <w:r>
        <w:t>3. Ciclo económico y conservadurismo</w:t>
      </w:r>
    </w:p>
    <w:p>
      <w:r>
        <w:t>El periodo de observación corresponde a una fase expansiva del ciclo económico, con tasas de default históricamente bajas. La entidad no aplica ningún margen de conservadurismo sobre la PD calibrada, al considerar que el comportamiento reciente de la cartera es representativo del futuro.</w:t>
      </w:r>
    </w:p>
    <w:p>
      <w:pPr>
        <w:pStyle w:val="Heading2"/>
      </w:pPr>
      <w:r>
        <w:t>4. Calibración</w:t>
      </w:r>
    </w:p>
    <w:p>
      <w:r>
        <w:t>Cada año se compara la PD asignada a cada grado de rating con la tasa de default observada mediante el test binomial con un nivel de confianza del 95%. Las desviaciones significativas se analizan en el comité de modelos y se documentan junto con las acciones correctoras acordadas.</w:t>
      </w:r>
    </w:p>
    <w:p>
      <w:pPr>
        <w:pStyle w:val="Heading2"/>
      </w:pPr>
      <w:r>
        <w:t>5. Poder discriminante</w:t>
      </w:r>
    </w:p>
    <w:p>
      <w:r>
        <w:t>El poder discriminante se mide anualmente con el AUC, que en la última revisión fue de 0,81. Se ha fijado un umbral mínimo de 0,70; si el AUC queda por debajo, el caso se escala al comité de riesgos para decidir si se recalibra o se redesarrolla el modelo.</w:t>
      </w:r>
    </w:p>
    <w:p>
      <w:pPr>
        <w:pStyle w:val="Heading2"/>
      </w:pPr>
      <w:r>
        <w:t>6. Escenarios prospectivos</w:t>
      </w:r>
    </w:p>
    <w:p>
      <w:r>
        <w:t>Para el cálculo de la pérdida esperada bajo IFRS 9 se utiliza un único escenario macroeconómico, el escenario base publicado por el servicio de estudios, sin escenarios alternativos ni ponderaciones por probabilidad.</w:t>
      </w:r>
    </w:p>
    <w:p>
      <w:pPr>
        <w:pStyle w:val="Heading2"/>
      </w:pPr>
      <w:r>
        <w:t>7. Calidad de los datos</w:t>
      </w:r>
    </w:p>
    <w:p>
      <w:r>
        <w:t>Los datos del modelo proceden del almacén corporativo y se concilian mensualmente con la contabilidad. Cada variable es trazable hasta su sistema de origen y los controles de completitud y exactitud se documentan en un registro de calidad del dato.</w:t>
      </w:r>
    </w:p>
    <w:p>
      <w:pPr>
        <w:pStyle w:val="Heading2"/>
      </w:pPr>
      <w:r>
        <w:t>8. Ajustes manuales</w:t>
      </w:r>
    </w:p>
    <w:p>
      <w:r>
        <w:t>Los ajustes manuales de rating requieren una justificación escrita, quedan registrados en la herramienta de admisión y no pueden superar el 5% de las operaciones. La unidad de validación revisa su uso cada semestre.</w:t>
      </w:r>
    </w:p>
    <w:p>
      <w:pPr>
        <w:pStyle w:val="Heading2"/>
      </w:pPr>
      <w:r>
        <w:t>9. Organización del equipo</w:t>
      </w:r>
    </w:p>
    <w:p>
      <w:r>
        <w:t>El equipo de modelización está formado por cuatro analistas y un responsable. Las reuniones de seguimiento se celebran los lunes y la documentación de trabajo se guarda en la intranet del departamento.</w:t>
      </w:r>
    </w:p>
    <w:p>
      <w:pPr>
        <w:pStyle w:val="Heading2"/>
      </w:pPr>
      <w:r>
        <w:t>10. Formato del documento</w:t>
      </w:r>
    </w:p>
    <w:p>
      <w:r>
        <w:t>Este documento sigue la guía de estilo corporativa: tipografía Arial de 11 puntos, títulos numerados y una tabla de control de versiones en la portada.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Documento sintético</dc:creator>
  <cp:keywords/>
  <dc:description>generated by python-docx</dc:description>
  <cp:lastModifiedBy/>
  <cp:revision>1</cp:revision>
  <dcterms:created xsi:type="dcterms:W3CDTF">2013-12-23T23:15:00Z</dcterms:created>
  <dcterms:modified xsi:type="dcterms:W3CDTF">2013-12-23T23:15:00Z</dcterms:modified>
  <cp:category/>
</cp:coreProperties>
</file>