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retención de documentos</w:t>
      </w:r>
    </w:p>
    <w:p>
      <w:r>
        <w:t>La presente política define cuánto tiempo se conservan los documentos procesados por la plataforma.</w:t>
      </w:r>
    </w:p>
    <w:p>
      <w:pPr>
        <w:pStyle w:val="Heading2"/>
      </w:pPr>
      <w:r>
        <w:t>Alcance</w:t>
      </w:r>
    </w:p>
    <w:p>
      <w:pPr>
        <w:pStyle w:val="ListBullet"/>
      </w:pPr>
      <w:r>
        <w:t>Documentos originales cargados por los usuarios</w:t>
      </w:r>
    </w:p>
    <w:p>
      <w:pPr>
        <w:pStyle w:val="ListBullet"/>
      </w:pPr>
      <w:r>
        <w:t>Texto extraído y archivos Markdown</w:t>
      </w:r>
    </w:p>
    <w:p>
      <w:pPr>
        <w:pStyle w:val="ListBullet"/>
      </w:pPr>
      <w:r>
        <w:t>Fragmentos indexados para búsqueda semántica</w:t>
      </w:r>
    </w:p>
    <w:p>
      <w:pPr>
        <w:pStyle w:val="Heading2"/>
      </w:pPr>
      <w:r>
        <w:t>Plazos de conservación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dato</w:t>
            </w:r>
          </w:p>
        </w:tc>
        <w:tc>
          <w:tcPr>
            <w:tcW w:type="dxa" w:w="2880"/>
          </w:tcPr>
          <w:p>
            <w:r>
              <w:t>Plazo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Documento original</w:t>
            </w:r>
          </w:p>
        </w:tc>
        <w:tc>
          <w:tcPr>
            <w:tcW w:type="dxa" w:w="2880"/>
          </w:tcPr>
          <w:p>
            <w:r>
              <w:t>5 años</w:t>
            </w:r>
          </w:p>
        </w:tc>
        <w:tc>
          <w:tcPr>
            <w:tcW w:type="dxa" w:w="2880"/>
          </w:tcPr>
          <w:p>
            <w:r>
              <w:t>Archivo general</w:t>
            </w:r>
          </w:p>
        </w:tc>
      </w:tr>
      <w:tr>
        <w:tc>
          <w:tcPr>
            <w:tcW w:type="dxa" w:w="2880"/>
          </w:tcPr>
          <w:p>
            <w:r>
              <w:t>Texto extraído</w:t>
            </w:r>
          </w:p>
        </w:tc>
        <w:tc>
          <w:tcPr>
            <w:tcW w:type="dxa" w:w="2880"/>
          </w:tcPr>
          <w:p>
            <w:r>
              <w:t>5 años</w:t>
            </w:r>
          </w:p>
        </w:tc>
        <w:tc>
          <w:tcPr>
            <w:tcW w:type="dxa" w:w="2880"/>
          </w:tcPr>
          <w:p>
            <w:r>
              <w:t>Equipo de datos</w:t>
            </w:r>
          </w:p>
        </w:tc>
      </w:tr>
      <w:tr>
        <w:tc>
          <w:tcPr>
            <w:tcW w:type="dxa" w:w="2880"/>
          </w:tcPr>
          <w:p>
            <w:r>
              <w:t>Índices de búsqueda</w:t>
            </w:r>
          </w:p>
        </w:tc>
        <w:tc>
          <w:tcPr>
            <w:tcW w:type="dxa" w:w="2880"/>
          </w:tcPr>
          <w:p>
            <w:r>
              <w:t>1 año</w:t>
            </w:r>
          </w:p>
        </w:tc>
        <w:tc>
          <w:tcPr>
            <w:tcW w:type="dxa" w:w="2880"/>
          </w:tcPr>
          <w:p>
            <w:r>
              <w:t>Equipo de IA</w:t>
            </w:r>
          </w:p>
        </w:tc>
      </w:tr>
      <w:tr>
        <w:tc>
          <w:tcPr>
            <w:tcW w:type="dxa" w:w="2880"/>
          </w:tcPr>
          <w:p>
            <w:r>
              <w:t>Bitácoras técnicas</w:t>
            </w:r>
          </w:p>
        </w:tc>
        <w:tc>
          <w:tcPr>
            <w:tcW w:type="dxa" w:w="2880"/>
          </w:tcPr>
          <w:p>
            <w:r>
              <w:t>90 días</w:t>
            </w:r>
          </w:p>
        </w:tc>
        <w:tc>
          <w:tcPr>
            <w:tcW w:type="dxa" w:w="2880"/>
          </w:tcPr>
          <w:p>
            <w:r>
              <w:t>Operaciones</w:t>
            </w:r>
          </w:p>
        </w:tc>
      </w:tr>
    </w:tbl>
    <w:p>
      <w:pPr>
        <w:pStyle w:val="Heading2"/>
      </w:pPr>
      <w:r>
        <w:t>Excepciones</w:t>
      </w:r>
    </w:p>
    <w:p>
      <w:r>
        <w:t>Los documentos sujetos a un proceso legal se conservan hasta que el área jurídica autorice su baja.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docx_politica_es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