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Quarterly report</w:t>
      </w:r>
    </w:p>
    <w:p>
      <w:r>
        <w:t>Real services rarely process a request synchronously, and file ingestion especially. Documents arrive faster than they can be processed, so a reliable solution accepts the upload, stores it, queues the work and lets users track progress asynchronously.</w:t>
      </w:r>
    </w:p>
    <w:p>
      <w:r>
        <w:t>The claim-check pattern keeps messages small: the heavy payload is stored in object storage and only a reference travels through the queue. Workers redeem the claim check when they are ready to do the work.</w:t>
      </w:r>
    </w:p>
    <w:p>
      <w:r>
        <w:t>Failure handling matters as much as the happy path. Workers can be killed in the middle of a task, brokers can restart and files can be corrupted. No job may be lost and no document may stay pending forever.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Q2</w:t>
            </w:r>
          </w:p>
        </w:tc>
        <w:tc>
          <w:tcPr>
            <w:tcW w:type="dxa" w:w="2880"/>
          </w:tcPr>
          <w:p>
            <w:r>
              <w:t>Q3</w:t>
            </w:r>
          </w:p>
        </w:tc>
      </w:tr>
      <w:tr>
        <w:tc>
          <w:tcPr>
            <w:tcW w:type="dxa" w:w="2880"/>
          </w:tcPr>
          <w:p>
            <w:r>
              <w:t>Documents</w:t>
            </w:r>
          </w:p>
        </w:tc>
        <w:tc>
          <w:tcPr>
            <w:tcW w:type="dxa" w:w="2880"/>
          </w:tcPr>
          <w:p>
            <w:r>
              <w:t>12,400</w:t>
            </w:r>
          </w:p>
        </w:tc>
        <w:tc>
          <w:tcPr>
            <w:tcW w:type="dxa" w:w="2880"/>
          </w:tcPr>
          <w:p>
            <w:r>
              <w:t>18,950</w:t>
            </w:r>
          </w:p>
        </w:tc>
      </w:tr>
      <w:tr>
        <w:tc>
          <w:tcPr>
            <w:tcW w:type="dxa" w:w="2880"/>
          </w:tcPr>
          <w:p>
            <w:r>
              <w:t>Failures</w:t>
            </w:r>
          </w:p>
        </w:tc>
        <w:tc>
          <w:tcPr>
            <w:tcW w:type="dxa" w:w="2880"/>
          </w:tcPr>
          <w:p>
            <w:r>
              <w:t>31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</w:tbl>
    <w:p>
      <w:r>
        <w:t>Conclusión: el sistema escaló sin pérdida de trabajos.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Data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