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Real services rarely process a request synchronously, and file ingestion especially. Documents arrive faster than they can be processed, so a reliable solution accepts the upload, stores it, queues the work and lets users track progress asynchronously.</w:t>
      </w:r>
    </w:p>
    <w:p>
      <w:r>
        <w:t>The claim-check pattern keeps messages small: the heavy payload is stored in object storage and only a reference travels through the queue. Workers redeem the claim check when they are ready to do the work.</w:t>
      </w:r>
    </w:p>
    <w:p>
      <w:r>
        <w:t>Failure handling matters as much as the happy path. Workers can be killed in the middle of a task, brokers can restart and files can be corrupted. No job may be lost and no document may stay pending forever.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12,400</w:t>
            </w:r>
          </w:p>
        </w:tc>
        <w:tc>
          <w:tcPr>
            <w:tcW w:type="dxa" w:w="2880"/>
          </w:tcPr>
          <w:p>
            <w:r>
              <w:t>18,950</w:t>
            </w:r>
          </w:p>
        </w:tc>
      </w:tr>
      <w:tr>
        <w:tc>
          <w:tcPr>
            <w:tcW w:type="dxa" w:w="2880"/>
          </w:tcPr>
          <w:p>
            <w:r>
              <w:t>Failures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>
      <w:r>
        <w:t>Conclusión: el sistema escaló sin pérdida de trabajos.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Data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