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8675D" w14:textId="77777777" w:rsidR="00A230BC" w:rsidRPr="005E07DD" w:rsidRDefault="00000000">
      <w:pPr>
        <w:pStyle w:val="Ttulo1"/>
        <w:rPr>
          <w:rFonts w:ascii="Cambria" w:hAnsi="Cambria"/>
        </w:rPr>
      </w:pPr>
      <w:r w:rsidRPr="005E07DD">
        <w:rPr>
          <w:rFonts w:ascii="Cambria" w:hAnsi="Cambria"/>
        </w:rPr>
        <w:t>Resumo Expandido – Capítulo 3: Estrutura de Educação Financeira no PISA 2022</w:t>
      </w:r>
    </w:p>
    <w:p w14:paraId="09A230F5" w14:textId="77777777" w:rsidR="00A230BC" w:rsidRPr="005E07DD" w:rsidRDefault="00000000">
      <w:pPr>
        <w:pStyle w:val="Ttulo2"/>
        <w:rPr>
          <w:rFonts w:ascii="Cambria" w:hAnsi="Cambria"/>
        </w:rPr>
      </w:pPr>
      <w:r w:rsidRPr="005E07DD">
        <w:rPr>
          <w:rFonts w:ascii="Cambria" w:hAnsi="Cambria"/>
        </w:rPr>
        <w:t>1. Introdução à Educação Financeira no PISA</w:t>
      </w:r>
    </w:p>
    <w:p w14:paraId="2E3CED23" w14:textId="77777777" w:rsidR="00A230BC" w:rsidRPr="005E07DD" w:rsidRDefault="00000000">
      <w:pPr>
        <w:rPr>
          <w:rFonts w:ascii="Cambria" w:hAnsi="Cambria"/>
        </w:rPr>
      </w:pPr>
      <w:r w:rsidRPr="005E07DD">
        <w:rPr>
          <w:rFonts w:ascii="Cambria" w:hAnsi="Cambria"/>
        </w:rPr>
        <w:br/>
        <w:t>A Educação Financeira é avaliada no PISA como um domínio opcional desde 2012, refletindo a crescente importância de preparar os jovens para lidar com as demandas financeiras do século XXI. No ciclo de 2022, o domínio voltou a ser incluído com uma estrutura revisada, que leva em conta a complexidade do ambiente financeiro contemporâneo, digitalizado e dinâmico. O foco é medir a capacidade dos estudantes de aplicar conhecimentos e habilidades financeiras em contextos reais de tomada de decisão.</w:t>
      </w:r>
      <w:r w:rsidRPr="005E07DD">
        <w:rPr>
          <w:rFonts w:ascii="Cambria" w:hAnsi="Cambria"/>
        </w:rPr>
        <w:br/>
      </w:r>
    </w:p>
    <w:p w14:paraId="72623227" w14:textId="77777777" w:rsidR="00A230BC" w:rsidRPr="005E07DD" w:rsidRDefault="00000000">
      <w:pPr>
        <w:pStyle w:val="Ttulo2"/>
        <w:rPr>
          <w:rFonts w:ascii="Cambria" w:hAnsi="Cambria"/>
        </w:rPr>
      </w:pPr>
      <w:r w:rsidRPr="005E07DD">
        <w:rPr>
          <w:rFonts w:ascii="Cambria" w:hAnsi="Cambria"/>
        </w:rPr>
        <w:t>2. Justificativa da Avaliação de Educação Financeira</w:t>
      </w:r>
    </w:p>
    <w:p w14:paraId="3C2AE539" w14:textId="77777777" w:rsidR="00A230BC" w:rsidRPr="005E07DD" w:rsidRDefault="00000000">
      <w:pPr>
        <w:rPr>
          <w:rFonts w:ascii="Cambria" w:hAnsi="Cambria"/>
        </w:rPr>
      </w:pPr>
      <w:r w:rsidRPr="005E07DD">
        <w:rPr>
          <w:rFonts w:ascii="Cambria" w:hAnsi="Cambria"/>
        </w:rPr>
        <w:br/>
        <w:t>A crescente complexidade dos sistemas financeiros, a digitalização dos meios de pagamento e a exposição dos jovens a produtos financeiros desde cedo justificam a importância de incluir a educação financeira como um componente central da formação cidadã. A OCDE destaca que decisões financeiras mal informadas podem ter impactos significativos ao longo da vida. Assim, avaliar a proficiência financeira de adolescentes permite orientar políticas educacionais voltadas ao desenvolvimento de competências essenciais para a vida adulta.</w:t>
      </w:r>
      <w:r w:rsidRPr="005E07DD">
        <w:rPr>
          <w:rFonts w:ascii="Cambria" w:hAnsi="Cambria"/>
        </w:rPr>
        <w:br/>
      </w:r>
    </w:p>
    <w:p w14:paraId="54A89A7E" w14:textId="77777777" w:rsidR="00A230BC" w:rsidRPr="005E07DD" w:rsidRDefault="00000000">
      <w:pPr>
        <w:pStyle w:val="Ttulo2"/>
        <w:rPr>
          <w:rFonts w:ascii="Cambria" w:hAnsi="Cambria"/>
        </w:rPr>
      </w:pPr>
      <w:r w:rsidRPr="005E07DD">
        <w:rPr>
          <w:rFonts w:ascii="Cambria" w:hAnsi="Cambria"/>
        </w:rPr>
        <w:t>3. Definição de Alfabetização Financeira</w:t>
      </w:r>
    </w:p>
    <w:p w14:paraId="633BA4FE" w14:textId="77777777" w:rsidR="00A230BC" w:rsidRPr="005E07DD" w:rsidRDefault="00000000">
      <w:pPr>
        <w:rPr>
          <w:rFonts w:ascii="Cambria" w:hAnsi="Cambria"/>
        </w:rPr>
      </w:pPr>
      <w:r w:rsidRPr="005E07DD">
        <w:rPr>
          <w:rFonts w:ascii="Cambria" w:hAnsi="Cambria"/>
        </w:rPr>
        <w:br/>
        <w:t>Segundo o PISA 2022, alfabetização financeira é a capacidade de compreender e aplicar conhecimentos e habilidades financeiras para tomar decisões eficazes em contextos variados, visando o bem-estar financeiro individual e coletivo. Isso inclui saber administrar dinheiro, compreender riscos, avaliar decisões de consumo e lidar com armadilhas financeiras. A definição destaca também aspectos atitudinais, como responsabilidade, cautela e ética.</w:t>
      </w:r>
      <w:r w:rsidRPr="005E07DD">
        <w:rPr>
          <w:rFonts w:ascii="Cambria" w:hAnsi="Cambria"/>
        </w:rPr>
        <w:br/>
      </w:r>
    </w:p>
    <w:p w14:paraId="0235A095" w14:textId="77777777" w:rsidR="00A230BC" w:rsidRPr="005E07DD" w:rsidRDefault="00000000">
      <w:pPr>
        <w:pStyle w:val="Ttulo2"/>
        <w:rPr>
          <w:rFonts w:ascii="Cambria" w:hAnsi="Cambria"/>
        </w:rPr>
      </w:pPr>
      <w:r w:rsidRPr="005E07DD">
        <w:rPr>
          <w:rFonts w:ascii="Cambria" w:hAnsi="Cambria"/>
        </w:rPr>
        <w:t>4. Estrutura Conceitual da Avaliação</w:t>
      </w:r>
    </w:p>
    <w:p w14:paraId="5E5E34B7" w14:textId="77777777" w:rsidR="00A230BC" w:rsidRPr="005E07DD" w:rsidRDefault="00000000">
      <w:pPr>
        <w:rPr>
          <w:rFonts w:ascii="Cambria" w:hAnsi="Cambria"/>
        </w:rPr>
      </w:pPr>
      <w:r w:rsidRPr="005E07DD">
        <w:rPr>
          <w:rFonts w:ascii="Cambria" w:hAnsi="Cambria"/>
        </w:rPr>
        <w:br/>
        <w:t>A avaliação é composta por três dimensões principais:</w:t>
      </w:r>
      <w:r w:rsidRPr="005E07DD">
        <w:rPr>
          <w:rFonts w:ascii="Cambria" w:hAnsi="Cambria"/>
        </w:rPr>
        <w:br/>
        <w:t>- **Conteúdo:** abrange temas como dinheiro e transações, planejamento e gestão financeira, riscos e recompensas, e ambiente financeiro.</w:t>
      </w:r>
      <w:r w:rsidRPr="005E07DD">
        <w:rPr>
          <w:rFonts w:ascii="Cambria" w:hAnsi="Cambria"/>
        </w:rPr>
        <w:br/>
        <w:t>- **Processos:** envolve identificar informações financeiras, analisar e avaliar situações, aplicar conhecimentos e tomar decisões.</w:t>
      </w:r>
      <w:r w:rsidRPr="005E07DD">
        <w:rPr>
          <w:rFonts w:ascii="Cambria" w:hAnsi="Cambria"/>
        </w:rPr>
        <w:br/>
        <w:t xml:space="preserve">- **Contextos:** situações próximas à realidade do estudante, como decisões de consumo, recebimento de mesada, planejamento de compras e uso de serviços </w:t>
      </w:r>
      <w:r w:rsidRPr="005E07DD">
        <w:rPr>
          <w:rFonts w:ascii="Cambria" w:hAnsi="Cambria"/>
        </w:rPr>
        <w:lastRenderedPageBreak/>
        <w:t>financeiros digitais.</w:t>
      </w:r>
      <w:r w:rsidRPr="005E07DD">
        <w:rPr>
          <w:rFonts w:ascii="Cambria" w:hAnsi="Cambria"/>
        </w:rPr>
        <w:br/>
      </w:r>
      <w:r w:rsidRPr="005E07DD">
        <w:rPr>
          <w:rFonts w:ascii="Cambria" w:hAnsi="Cambria"/>
        </w:rPr>
        <w:br/>
        <w:t>Essa estrutura multidimensional permite avaliar tanto a proficiência técnica quanto a capacidade de julgamento financeiro.</w:t>
      </w:r>
      <w:r w:rsidRPr="005E07DD">
        <w:rPr>
          <w:rFonts w:ascii="Cambria" w:hAnsi="Cambria"/>
        </w:rPr>
        <w:br/>
      </w:r>
    </w:p>
    <w:p w14:paraId="5F194059" w14:textId="77777777" w:rsidR="00A230BC" w:rsidRPr="005E07DD" w:rsidRDefault="00000000">
      <w:pPr>
        <w:pStyle w:val="Ttulo2"/>
        <w:rPr>
          <w:rFonts w:ascii="Cambria" w:hAnsi="Cambria"/>
        </w:rPr>
      </w:pPr>
      <w:r w:rsidRPr="005E07DD">
        <w:rPr>
          <w:rFonts w:ascii="Cambria" w:hAnsi="Cambria"/>
        </w:rPr>
        <w:t>5. Itens e Formatos de Questões</w:t>
      </w:r>
    </w:p>
    <w:p w14:paraId="66C68E71" w14:textId="77777777" w:rsidR="00A230BC" w:rsidRPr="005E07DD" w:rsidRDefault="00000000">
      <w:pPr>
        <w:rPr>
          <w:rFonts w:ascii="Cambria" w:hAnsi="Cambria"/>
        </w:rPr>
      </w:pPr>
      <w:r w:rsidRPr="005E07DD">
        <w:rPr>
          <w:rFonts w:ascii="Cambria" w:hAnsi="Cambria"/>
        </w:rPr>
        <w:br/>
        <w:t>Os instrumentos incluem questões de múltipla escolha, questões abertas e situações interativas baseadas em problemas reais. O ambiente digital permite simular cenários de uso de cartão de crédito, planejamento orçamentário ou análise de extratos bancários. Essas situações reforçam a capacidade do PISA de mensurar a aplicação prática dos conhecimentos, e não apenas a memorização de conceitos.</w:t>
      </w:r>
      <w:r w:rsidRPr="005E07DD">
        <w:rPr>
          <w:rFonts w:ascii="Cambria" w:hAnsi="Cambria"/>
        </w:rPr>
        <w:br/>
      </w:r>
    </w:p>
    <w:p w14:paraId="6A536568" w14:textId="77777777" w:rsidR="00A230BC" w:rsidRPr="005E07DD" w:rsidRDefault="00000000">
      <w:pPr>
        <w:pStyle w:val="Ttulo2"/>
        <w:rPr>
          <w:rFonts w:ascii="Cambria" w:hAnsi="Cambria"/>
        </w:rPr>
      </w:pPr>
      <w:r w:rsidRPr="005E07DD">
        <w:rPr>
          <w:rFonts w:ascii="Cambria" w:hAnsi="Cambria"/>
        </w:rPr>
        <w:t>6. Aplicação e Amostra</w:t>
      </w:r>
    </w:p>
    <w:p w14:paraId="1C663740" w14:textId="77777777" w:rsidR="00A230BC" w:rsidRPr="005E07DD" w:rsidRDefault="00000000">
      <w:pPr>
        <w:rPr>
          <w:rFonts w:ascii="Cambria" w:hAnsi="Cambria"/>
        </w:rPr>
      </w:pPr>
      <w:r w:rsidRPr="005E07DD">
        <w:rPr>
          <w:rFonts w:ascii="Cambria" w:hAnsi="Cambria"/>
        </w:rPr>
        <w:br/>
        <w:t>A Educação Financeira foi aplicada como um módulo adicional em países que optaram por sua inclusão, utilizando os mesmos princípios metodológicos dos testes principais. A amostra é representativa dos estudantes de 15 anos nesses países, e os instrumentos são aplicados de forma computadorizada. Os estudantes completaram cerca de uma hora de questões de educação financeira, além dos testes cognitivos centrais.</w:t>
      </w:r>
      <w:r w:rsidRPr="005E07DD">
        <w:rPr>
          <w:rFonts w:ascii="Cambria" w:hAnsi="Cambria"/>
        </w:rPr>
        <w:br/>
      </w:r>
    </w:p>
    <w:p w14:paraId="18625E61" w14:textId="77777777" w:rsidR="00A230BC" w:rsidRPr="005E07DD" w:rsidRDefault="00000000">
      <w:pPr>
        <w:pStyle w:val="Ttulo2"/>
        <w:rPr>
          <w:rFonts w:ascii="Cambria" w:hAnsi="Cambria"/>
        </w:rPr>
      </w:pPr>
      <w:r w:rsidRPr="005E07DD">
        <w:rPr>
          <w:rFonts w:ascii="Cambria" w:hAnsi="Cambria"/>
        </w:rPr>
        <w:t>7. Proficiência e Níveis de Desempenho</w:t>
      </w:r>
    </w:p>
    <w:p w14:paraId="10CB77B2" w14:textId="77777777" w:rsidR="00A230BC" w:rsidRPr="005E07DD" w:rsidRDefault="00000000">
      <w:pPr>
        <w:rPr>
          <w:rFonts w:ascii="Cambria" w:hAnsi="Cambria"/>
        </w:rPr>
      </w:pPr>
      <w:r w:rsidRPr="005E07DD">
        <w:rPr>
          <w:rFonts w:ascii="Cambria" w:hAnsi="Cambria"/>
        </w:rPr>
        <w:br/>
        <w:t>A avaliação estabelece níveis de proficiência que descrevem o que os estudantes são capazes de fazer. Os níveis vão de uma compreensão básica de operações simples com dinheiro até a capacidade de tomar decisões complexas em contextos de alto risco financeiro. Cada nível é descrito em termos de habilidades cognitivas e de julgamento, permitindo monitorar o desenvolvimento de competências ao longo do tempo e entre países.</w:t>
      </w:r>
      <w:r w:rsidRPr="005E07DD">
        <w:rPr>
          <w:rFonts w:ascii="Cambria" w:hAnsi="Cambria"/>
        </w:rPr>
        <w:br/>
      </w:r>
    </w:p>
    <w:p w14:paraId="68BBB3F0" w14:textId="77777777" w:rsidR="00A230BC" w:rsidRPr="005E07DD" w:rsidRDefault="00000000">
      <w:pPr>
        <w:pStyle w:val="Ttulo2"/>
        <w:rPr>
          <w:rFonts w:ascii="Cambria" w:hAnsi="Cambria"/>
        </w:rPr>
      </w:pPr>
      <w:r w:rsidRPr="005E07DD">
        <w:rPr>
          <w:rFonts w:ascii="Cambria" w:hAnsi="Cambria"/>
        </w:rPr>
        <w:t>8. Relação com Variáveis Contextuais</w:t>
      </w:r>
    </w:p>
    <w:p w14:paraId="03F2FAF2" w14:textId="77777777" w:rsidR="00A230BC" w:rsidRPr="005E07DD" w:rsidRDefault="00000000">
      <w:pPr>
        <w:rPr>
          <w:rFonts w:ascii="Cambria" w:hAnsi="Cambria"/>
        </w:rPr>
      </w:pPr>
      <w:r w:rsidRPr="005E07DD">
        <w:rPr>
          <w:rFonts w:ascii="Cambria" w:hAnsi="Cambria"/>
        </w:rPr>
        <w:br/>
        <w:t>A análise dos dados permite identificar relações entre desempenho em educação financeira e fatores como nível socioeconômico, gênero, atitudes em relação ao consumo, suporte familiar e escolar. Também são analisados o acesso a tecnologias digitais e o uso efetivo de instrumentos financeiros como cartões, aplicativos ou bancos virtuais. Essas variáveis ajudam a explicar desigualdades no acesso e uso consciente das finanças.</w:t>
      </w:r>
      <w:r w:rsidRPr="005E07DD">
        <w:rPr>
          <w:rFonts w:ascii="Cambria" w:hAnsi="Cambria"/>
        </w:rPr>
        <w:br/>
      </w:r>
    </w:p>
    <w:p w14:paraId="1B91D9F4" w14:textId="77777777" w:rsidR="00A230BC" w:rsidRPr="005E07DD" w:rsidRDefault="00000000">
      <w:pPr>
        <w:pStyle w:val="Ttulo2"/>
        <w:rPr>
          <w:rFonts w:ascii="Cambria" w:hAnsi="Cambria"/>
        </w:rPr>
      </w:pPr>
      <w:r w:rsidRPr="005E07DD">
        <w:rPr>
          <w:rFonts w:ascii="Cambria" w:hAnsi="Cambria"/>
        </w:rPr>
        <w:lastRenderedPageBreak/>
        <w:t>9. Implicações para Políticas Públicas</w:t>
      </w:r>
    </w:p>
    <w:p w14:paraId="4563166B" w14:textId="77777777" w:rsidR="00A230BC" w:rsidRPr="005E07DD" w:rsidRDefault="00000000">
      <w:pPr>
        <w:rPr>
          <w:rFonts w:ascii="Cambria" w:hAnsi="Cambria"/>
        </w:rPr>
      </w:pPr>
      <w:r w:rsidRPr="005E07DD">
        <w:rPr>
          <w:rFonts w:ascii="Cambria" w:hAnsi="Cambria"/>
        </w:rPr>
        <w:br/>
        <w:t>Os resultados da avaliação de educação financeira fornecem subsídios importantes para a formulação de políticas voltadas à inclusão financeira e à equidade. Sistemas educacionais que introduzem conceitos financeiros de forma transversal e contextualizada tendem a apresentar melhores desempenhos médios e menores desigualdades. A OCDE recomenda a integração progressiva da educação financeira nos currículos desde os anos iniciais da educação básica.</w:t>
      </w:r>
      <w:r w:rsidRPr="005E07DD">
        <w:rPr>
          <w:rFonts w:ascii="Cambria" w:hAnsi="Cambria"/>
        </w:rPr>
        <w:br/>
      </w:r>
    </w:p>
    <w:p w14:paraId="055FEA3B" w14:textId="77777777" w:rsidR="00A230BC" w:rsidRPr="005E07DD" w:rsidRDefault="00000000">
      <w:pPr>
        <w:pStyle w:val="Ttulo2"/>
        <w:rPr>
          <w:rFonts w:ascii="Cambria" w:hAnsi="Cambria"/>
        </w:rPr>
      </w:pPr>
      <w:r w:rsidRPr="005E07DD">
        <w:rPr>
          <w:rFonts w:ascii="Cambria" w:hAnsi="Cambria"/>
        </w:rPr>
        <w:t>10. Considerações Finais</w:t>
      </w:r>
    </w:p>
    <w:p w14:paraId="4BA9875D" w14:textId="77777777" w:rsidR="00A230BC" w:rsidRPr="005E07DD" w:rsidRDefault="00000000">
      <w:pPr>
        <w:rPr>
          <w:rFonts w:ascii="Cambria" w:hAnsi="Cambria"/>
        </w:rPr>
      </w:pPr>
      <w:r w:rsidRPr="005E07DD">
        <w:rPr>
          <w:rFonts w:ascii="Cambria" w:hAnsi="Cambria"/>
        </w:rPr>
        <w:br/>
        <w:t>A inclusão da educação financeira no PISA 2022 representa um avanço significativo na compreensão das habilidades necessárias à vida adulta. A abordagem adotada amplia a visão tradicional de conteúdo escolar, conectando o conhecimento à prática cotidiana. Ao avaliar competências financeiras de adolescentes, o PISA contribui para o debate internacional sobre o papel da escola na formação de cidadãos conscientes, autônomos e preparados para os desafios econômicos do mundo contemporâneo.</w:t>
      </w:r>
      <w:r w:rsidRPr="005E07DD">
        <w:rPr>
          <w:rFonts w:ascii="Cambria" w:hAnsi="Cambria"/>
        </w:rPr>
        <w:br/>
      </w:r>
    </w:p>
    <w:p w14:paraId="6A39C1EA" w14:textId="77777777" w:rsidR="005E07DD" w:rsidRPr="005E07DD" w:rsidRDefault="005E07DD">
      <w:pPr>
        <w:rPr>
          <w:rFonts w:ascii="Cambria" w:hAnsi="Cambria"/>
        </w:rPr>
      </w:pPr>
    </w:p>
    <w:p w14:paraId="210775B4" w14:textId="77777777" w:rsidR="005E07DD" w:rsidRPr="005E07DD" w:rsidRDefault="005E07DD" w:rsidP="005E07DD">
      <w:pPr>
        <w:spacing w:before="100" w:beforeAutospacing="1" w:after="100" w:afterAutospacing="1"/>
        <w:outlineLvl w:val="2"/>
        <w:rPr>
          <w:rFonts w:ascii="Cambria" w:hAnsi="Cambria"/>
          <w:b/>
          <w:bCs/>
          <w:sz w:val="27"/>
          <w:szCs w:val="27"/>
        </w:rPr>
      </w:pPr>
      <w:r w:rsidRPr="005E07DD">
        <w:rPr>
          <w:rFonts w:ascii="Cambria" w:hAnsi="Cambria"/>
          <w:b/>
          <w:bCs/>
          <w:sz w:val="27"/>
          <w:szCs w:val="27"/>
        </w:rPr>
        <w:t>Possibilidades de Pesquisa com os Dados da Estrutura de Educação Financeira no PISA 2022</w:t>
      </w:r>
    </w:p>
    <w:p w14:paraId="363B4180" w14:textId="77777777" w:rsidR="005E07DD" w:rsidRPr="005E07DD" w:rsidRDefault="005E07DD" w:rsidP="005E07DD">
      <w:pPr>
        <w:spacing w:before="100" w:beforeAutospacing="1" w:after="100" w:afterAutospacing="1"/>
        <w:rPr>
          <w:rFonts w:ascii="Cambria" w:hAnsi="Cambria"/>
        </w:rPr>
      </w:pPr>
      <w:r w:rsidRPr="005E07DD">
        <w:rPr>
          <w:rFonts w:ascii="Cambria" w:hAnsi="Cambria"/>
        </w:rPr>
        <w:t xml:space="preserve">A inclusão do domínio de </w:t>
      </w:r>
      <w:r w:rsidRPr="005E07DD">
        <w:rPr>
          <w:rFonts w:ascii="Cambria" w:hAnsi="Cambria"/>
          <w:b/>
          <w:bCs/>
        </w:rPr>
        <w:t>Educação Financeira</w:t>
      </w:r>
      <w:r w:rsidRPr="005E07DD">
        <w:rPr>
          <w:rFonts w:ascii="Cambria" w:hAnsi="Cambria"/>
        </w:rPr>
        <w:t xml:space="preserve"> no PISA 2022 amplia significativamente as possibilidades de análise sobre a formação de competências essenciais para a vida adulta. Em um cenário global de crescente complexidade econômica, desigualdade e digitalização das finanças, investigar como os estudantes desenvolvem habilidades financeiras é crucial para subsidiar políticas educacionais mais equitativas e eficazes.</w:t>
      </w:r>
    </w:p>
    <w:p w14:paraId="1A4C8D71" w14:textId="77777777" w:rsidR="005E07DD" w:rsidRPr="005E07DD" w:rsidRDefault="005E07DD" w:rsidP="005E07DD">
      <w:pPr>
        <w:spacing w:before="100" w:beforeAutospacing="1" w:after="100" w:afterAutospacing="1"/>
        <w:rPr>
          <w:rFonts w:ascii="Cambria" w:hAnsi="Cambria"/>
        </w:rPr>
      </w:pPr>
      <w:r w:rsidRPr="005E07DD">
        <w:rPr>
          <w:rFonts w:ascii="Cambria" w:hAnsi="Cambria"/>
        </w:rPr>
        <w:t xml:space="preserve">A seguir, destacam-se </w:t>
      </w:r>
      <w:r w:rsidRPr="005E07DD">
        <w:rPr>
          <w:rFonts w:ascii="Cambria" w:hAnsi="Cambria"/>
          <w:b/>
          <w:bCs/>
        </w:rPr>
        <w:t>principais eixos de investigação possíveis com os dados desse domínio</w:t>
      </w:r>
      <w:r w:rsidRPr="005E07DD">
        <w:rPr>
          <w:rFonts w:ascii="Cambria" w:hAnsi="Cambria"/>
        </w:rPr>
        <w:t>:</w:t>
      </w:r>
    </w:p>
    <w:p w14:paraId="05DAD589" w14:textId="77777777" w:rsidR="005E07DD" w:rsidRPr="005E07DD" w:rsidRDefault="00DD4F42" w:rsidP="005E07DD">
      <w:pPr>
        <w:rPr>
          <w:rFonts w:ascii="Cambria" w:hAnsi="Cambria"/>
        </w:rPr>
      </w:pPr>
      <w:r w:rsidRPr="00DD4F42">
        <w:rPr>
          <w:rFonts w:ascii="Cambria" w:hAnsi="Cambria"/>
          <w:noProof/>
        </w:rPr>
        <w:pict w14:anchorId="1E2A77FE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373EA610" w14:textId="77777777" w:rsidR="005E07DD" w:rsidRPr="005E07DD" w:rsidRDefault="005E07DD" w:rsidP="005E07DD">
      <w:pPr>
        <w:spacing w:before="100" w:beforeAutospacing="1" w:after="100" w:afterAutospacing="1"/>
        <w:outlineLvl w:val="3"/>
        <w:rPr>
          <w:rFonts w:ascii="Cambria" w:hAnsi="Cambria"/>
          <w:b/>
          <w:bCs/>
        </w:rPr>
      </w:pPr>
      <w:r w:rsidRPr="005E07DD">
        <w:rPr>
          <w:rFonts w:ascii="Cambria" w:hAnsi="Cambria"/>
          <w:b/>
          <w:bCs/>
        </w:rPr>
        <w:t>1. Desempenho em Educação Financeira e Desigualdades Socioeconômicas</w:t>
      </w:r>
    </w:p>
    <w:p w14:paraId="79757D9D" w14:textId="77777777" w:rsidR="005E07DD" w:rsidRPr="005E07DD" w:rsidRDefault="005E07DD" w:rsidP="005E07DD">
      <w:pPr>
        <w:numPr>
          <w:ilvl w:val="0"/>
          <w:numId w:val="10"/>
        </w:numPr>
        <w:spacing w:before="100" w:beforeAutospacing="1" w:after="100" w:afterAutospacing="1"/>
        <w:rPr>
          <w:rFonts w:ascii="Cambria" w:hAnsi="Cambria"/>
        </w:rPr>
      </w:pPr>
      <w:r w:rsidRPr="005E07DD">
        <w:rPr>
          <w:rFonts w:ascii="Cambria" w:hAnsi="Cambria"/>
        </w:rPr>
        <w:t>Modelagem da influência do índice ESCS (status econômico, social e cultural) no desempenho em finanças pessoais.</w:t>
      </w:r>
    </w:p>
    <w:p w14:paraId="2B60ED04" w14:textId="77777777" w:rsidR="005E07DD" w:rsidRPr="005E07DD" w:rsidRDefault="005E07DD" w:rsidP="005E07DD">
      <w:pPr>
        <w:numPr>
          <w:ilvl w:val="0"/>
          <w:numId w:val="10"/>
        </w:numPr>
        <w:spacing w:before="100" w:beforeAutospacing="1" w:after="100" w:afterAutospacing="1"/>
        <w:rPr>
          <w:rFonts w:ascii="Cambria" w:hAnsi="Cambria"/>
        </w:rPr>
      </w:pPr>
      <w:r w:rsidRPr="005E07DD">
        <w:rPr>
          <w:rFonts w:ascii="Cambria" w:hAnsi="Cambria"/>
        </w:rPr>
        <w:t>Análise interseccional de desempenho por gênero, origem migratória, cor/raça e contexto regional.</w:t>
      </w:r>
    </w:p>
    <w:p w14:paraId="40718B65" w14:textId="77777777" w:rsidR="005E07DD" w:rsidRPr="005E07DD" w:rsidRDefault="005E07DD" w:rsidP="005E07DD">
      <w:pPr>
        <w:numPr>
          <w:ilvl w:val="0"/>
          <w:numId w:val="10"/>
        </w:numPr>
        <w:spacing w:before="100" w:beforeAutospacing="1" w:after="100" w:afterAutospacing="1"/>
        <w:rPr>
          <w:rFonts w:ascii="Cambria" w:hAnsi="Cambria"/>
        </w:rPr>
      </w:pPr>
      <w:r w:rsidRPr="005E07DD">
        <w:rPr>
          <w:rFonts w:ascii="Cambria" w:hAnsi="Cambria"/>
        </w:rPr>
        <w:t>Clusterização de estudantes por perfis de letramento financeiro e condições de vida.</w:t>
      </w:r>
    </w:p>
    <w:p w14:paraId="5EFD6C78" w14:textId="77777777" w:rsidR="005E07DD" w:rsidRPr="005E07DD" w:rsidRDefault="005E07DD" w:rsidP="005E07DD">
      <w:pPr>
        <w:spacing w:before="100" w:beforeAutospacing="1" w:after="100" w:afterAutospacing="1"/>
        <w:outlineLvl w:val="3"/>
        <w:rPr>
          <w:rFonts w:ascii="Cambria" w:hAnsi="Cambria"/>
          <w:b/>
          <w:bCs/>
        </w:rPr>
      </w:pPr>
      <w:r w:rsidRPr="005E07DD">
        <w:rPr>
          <w:rFonts w:ascii="Cambria" w:hAnsi="Cambria"/>
          <w:b/>
          <w:bCs/>
        </w:rPr>
        <w:lastRenderedPageBreak/>
        <w:t>2. Relação entre Educação Financeira e Outras Áreas Cognitivas</w:t>
      </w:r>
    </w:p>
    <w:p w14:paraId="3B371C13" w14:textId="77777777" w:rsidR="005E07DD" w:rsidRPr="005E07DD" w:rsidRDefault="005E07DD" w:rsidP="005E07DD">
      <w:pPr>
        <w:numPr>
          <w:ilvl w:val="0"/>
          <w:numId w:val="11"/>
        </w:numPr>
        <w:spacing w:before="100" w:beforeAutospacing="1" w:after="100" w:afterAutospacing="1"/>
        <w:rPr>
          <w:rFonts w:ascii="Cambria" w:hAnsi="Cambria"/>
        </w:rPr>
      </w:pPr>
      <w:r w:rsidRPr="005E07DD">
        <w:rPr>
          <w:rFonts w:ascii="Cambria" w:hAnsi="Cambria"/>
        </w:rPr>
        <w:t>Estudo da correlação entre proficiência em finanças e os domínios clássicos: matemática, leitura e ciências.</w:t>
      </w:r>
    </w:p>
    <w:p w14:paraId="4C3CCEA2" w14:textId="77777777" w:rsidR="005E07DD" w:rsidRPr="005E07DD" w:rsidRDefault="005E07DD" w:rsidP="005E07DD">
      <w:pPr>
        <w:numPr>
          <w:ilvl w:val="0"/>
          <w:numId w:val="11"/>
        </w:numPr>
        <w:spacing w:before="100" w:beforeAutospacing="1" w:after="100" w:afterAutospacing="1"/>
        <w:rPr>
          <w:rFonts w:ascii="Cambria" w:hAnsi="Cambria"/>
        </w:rPr>
      </w:pPr>
      <w:r w:rsidRPr="005E07DD">
        <w:rPr>
          <w:rFonts w:ascii="Cambria" w:hAnsi="Cambria"/>
        </w:rPr>
        <w:t>Modelagem causal entre habilidades matemáticas e desempenho financeiro, considerando variáveis contextuais.</w:t>
      </w:r>
    </w:p>
    <w:p w14:paraId="53CFEC80" w14:textId="77777777" w:rsidR="005E07DD" w:rsidRPr="005E07DD" w:rsidRDefault="005E07DD" w:rsidP="005E07DD">
      <w:pPr>
        <w:spacing w:before="100" w:beforeAutospacing="1" w:after="100" w:afterAutospacing="1"/>
        <w:outlineLvl w:val="3"/>
        <w:rPr>
          <w:rFonts w:ascii="Cambria" w:hAnsi="Cambria"/>
          <w:b/>
          <w:bCs/>
        </w:rPr>
      </w:pPr>
      <w:r w:rsidRPr="005E07DD">
        <w:rPr>
          <w:rFonts w:ascii="Cambria" w:hAnsi="Cambria"/>
          <w:b/>
          <w:bCs/>
        </w:rPr>
        <w:t>3. Atitudes e Crenças sobre Dinheiro e Consumo</w:t>
      </w:r>
    </w:p>
    <w:p w14:paraId="6AB0C78F" w14:textId="77777777" w:rsidR="005E07DD" w:rsidRPr="005E07DD" w:rsidRDefault="005E07DD" w:rsidP="005E07DD">
      <w:pPr>
        <w:numPr>
          <w:ilvl w:val="0"/>
          <w:numId w:val="12"/>
        </w:numPr>
        <w:spacing w:before="100" w:beforeAutospacing="1" w:after="100" w:afterAutospacing="1"/>
        <w:rPr>
          <w:rFonts w:ascii="Cambria" w:hAnsi="Cambria"/>
        </w:rPr>
      </w:pPr>
      <w:r w:rsidRPr="005E07DD">
        <w:rPr>
          <w:rFonts w:ascii="Cambria" w:hAnsi="Cambria"/>
        </w:rPr>
        <w:t>Exploração de escalas que mensuram atitudes frente ao consumo, poupança, risco e tomada de decisão financeira.</w:t>
      </w:r>
    </w:p>
    <w:p w14:paraId="1AE4A9B8" w14:textId="77777777" w:rsidR="005E07DD" w:rsidRPr="005E07DD" w:rsidRDefault="005E07DD" w:rsidP="005E07DD">
      <w:pPr>
        <w:numPr>
          <w:ilvl w:val="0"/>
          <w:numId w:val="12"/>
        </w:numPr>
        <w:spacing w:before="100" w:beforeAutospacing="1" w:after="100" w:afterAutospacing="1"/>
        <w:rPr>
          <w:rFonts w:ascii="Cambria" w:hAnsi="Cambria"/>
        </w:rPr>
      </w:pPr>
      <w:r w:rsidRPr="005E07DD">
        <w:rPr>
          <w:rFonts w:ascii="Cambria" w:hAnsi="Cambria"/>
        </w:rPr>
        <w:t>Análise de perfis latentes de comportamento financeiro entre estudantes.</w:t>
      </w:r>
    </w:p>
    <w:p w14:paraId="514FB97B" w14:textId="77777777" w:rsidR="005E07DD" w:rsidRPr="005E07DD" w:rsidRDefault="005E07DD" w:rsidP="005E07DD">
      <w:pPr>
        <w:numPr>
          <w:ilvl w:val="0"/>
          <w:numId w:val="12"/>
        </w:numPr>
        <w:spacing w:before="100" w:beforeAutospacing="1" w:after="100" w:afterAutospacing="1"/>
        <w:rPr>
          <w:rFonts w:ascii="Cambria" w:hAnsi="Cambria"/>
        </w:rPr>
      </w:pPr>
      <w:r w:rsidRPr="005E07DD">
        <w:rPr>
          <w:rFonts w:ascii="Cambria" w:hAnsi="Cambria"/>
        </w:rPr>
        <w:t>Investigação de como crenças familiares ou práticas domésticas se associam a atitudes mais ou menos saudáveis financeiramente.</w:t>
      </w:r>
    </w:p>
    <w:p w14:paraId="7A8B8204" w14:textId="77777777" w:rsidR="005E07DD" w:rsidRPr="005E07DD" w:rsidRDefault="005E07DD" w:rsidP="005E07DD">
      <w:pPr>
        <w:spacing w:before="100" w:beforeAutospacing="1" w:after="100" w:afterAutospacing="1"/>
        <w:outlineLvl w:val="3"/>
        <w:rPr>
          <w:rFonts w:ascii="Cambria" w:hAnsi="Cambria"/>
          <w:b/>
          <w:bCs/>
        </w:rPr>
      </w:pPr>
      <w:r w:rsidRPr="005E07DD">
        <w:rPr>
          <w:rFonts w:ascii="Cambria" w:hAnsi="Cambria"/>
          <w:b/>
          <w:bCs/>
        </w:rPr>
        <w:t>4. Uso de Produtos Financeiros e Experiências Práticas</w:t>
      </w:r>
    </w:p>
    <w:p w14:paraId="5507C797" w14:textId="77777777" w:rsidR="005E07DD" w:rsidRPr="005E07DD" w:rsidRDefault="005E07DD" w:rsidP="005E07DD">
      <w:pPr>
        <w:numPr>
          <w:ilvl w:val="0"/>
          <w:numId w:val="13"/>
        </w:numPr>
        <w:spacing w:before="100" w:beforeAutospacing="1" w:after="100" w:afterAutospacing="1"/>
        <w:rPr>
          <w:rFonts w:ascii="Cambria" w:hAnsi="Cambria"/>
        </w:rPr>
      </w:pPr>
      <w:r w:rsidRPr="005E07DD">
        <w:rPr>
          <w:rFonts w:ascii="Cambria" w:hAnsi="Cambria"/>
        </w:rPr>
        <w:t>Avaliação do impacto do uso de contas bancárias, cartões e outras ferramentas financeiras sobre o desempenho em educação financeira.</w:t>
      </w:r>
    </w:p>
    <w:p w14:paraId="2680DA87" w14:textId="77777777" w:rsidR="005E07DD" w:rsidRPr="005E07DD" w:rsidRDefault="005E07DD" w:rsidP="005E07DD">
      <w:pPr>
        <w:numPr>
          <w:ilvl w:val="0"/>
          <w:numId w:val="13"/>
        </w:numPr>
        <w:spacing w:before="100" w:beforeAutospacing="1" w:after="100" w:afterAutospacing="1"/>
        <w:rPr>
          <w:rFonts w:ascii="Cambria" w:hAnsi="Cambria"/>
        </w:rPr>
      </w:pPr>
      <w:r w:rsidRPr="005E07DD">
        <w:rPr>
          <w:rFonts w:ascii="Cambria" w:hAnsi="Cambria"/>
        </w:rPr>
        <w:t>Estudo das práticas financeiras no ambiente familiar como fator mediador da aprendizagem sobre finanças.</w:t>
      </w:r>
    </w:p>
    <w:p w14:paraId="384C2B62" w14:textId="77777777" w:rsidR="005E07DD" w:rsidRPr="005E07DD" w:rsidRDefault="005E07DD" w:rsidP="005E07DD">
      <w:pPr>
        <w:numPr>
          <w:ilvl w:val="0"/>
          <w:numId w:val="13"/>
        </w:numPr>
        <w:spacing w:before="100" w:beforeAutospacing="1" w:after="100" w:afterAutospacing="1"/>
        <w:rPr>
          <w:rFonts w:ascii="Cambria" w:hAnsi="Cambria"/>
        </w:rPr>
      </w:pPr>
      <w:r w:rsidRPr="005E07DD">
        <w:rPr>
          <w:rFonts w:ascii="Cambria" w:hAnsi="Cambria"/>
        </w:rPr>
        <w:t>Comparação entre países que promovem o ensino formal de educação financeira nas escolas e os que não o fazem.</w:t>
      </w:r>
    </w:p>
    <w:p w14:paraId="5D292D3C" w14:textId="77777777" w:rsidR="005E07DD" w:rsidRPr="005E07DD" w:rsidRDefault="005E07DD" w:rsidP="005E07DD">
      <w:pPr>
        <w:spacing w:before="100" w:beforeAutospacing="1" w:after="100" w:afterAutospacing="1"/>
        <w:outlineLvl w:val="3"/>
        <w:rPr>
          <w:rFonts w:ascii="Cambria" w:hAnsi="Cambria"/>
          <w:b/>
          <w:bCs/>
        </w:rPr>
      </w:pPr>
      <w:r w:rsidRPr="005E07DD">
        <w:rPr>
          <w:rFonts w:ascii="Cambria" w:hAnsi="Cambria"/>
          <w:b/>
          <w:bCs/>
        </w:rPr>
        <w:t>5. Equidade e Inclusão na Educação Financeira</w:t>
      </w:r>
    </w:p>
    <w:p w14:paraId="0FB94073" w14:textId="77777777" w:rsidR="005E07DD" w:rsidRPr="005E07DD" w:rsidRDefault="005E07DD" w:rsidP="005E07DD">
      <w:pPr>
        <w:numPr>
          <w:ilvl w:val="0"/>
          <w:numId w:val="14"/>
        </w:numPr>
        <w:spacing w:before="100" w:beforeAutospacing="1" w:after="100" w:afterAutospacing="1"/>
        <w:rPr>
          <w:rFonts w:ascii="Cambria" w:hAnsi="Cambria"/>
        </w:rPr>
      </w:pPr>
      <w:r w:rsidRPr="005E07DD">
        <w:rPr>
          <w:rFonts w:ascii="Cambria" w:hAnsi="Cambria"/>
        </w:rPr>
        <w:t>Identificação de grupos mais vulneráveis à exclusão financeira e análise de como o sistema educacional pode mitigar esses riscos.</w:t>
      </w:r>
    </w:p>
    <w:p w14:paraId="50EA3399" w14:textId="77777777" w:rsidR="005E07DD" w:rsidRPr="005E07DD" w:rsidRDefault="005E07DD" w:rsidP="005E07DD">
      <w:pPr>
        <w:numPr>
          <w:ilvl w:val="0"/>
          <w:numId w:val="14"/>
        </w:numPr>
        <w:spacing w:before="100" w:beforeAutospacing="1" w:after="100" w:afterAutospacing="1"/>
        <w:rPr>
          <w:rFonts w:ascii="Cambria" w:hAnsi="Cambria"/>
        </w:rPr>
      </w:pPr>
      <w:r w:rsidRPr="005E07DD">
        <w:rPr>
          <w:rFonts w:ascii="Cambria" w:hAnsi="Cambria"/>
        </w:rPr>
        <w:t>Modelos preditivos de letramento financeiro baixo a partir de características contextuais, emocionais e familiares.</w:t>
      </w:r>
    </w:p>
    <w:p w14:paraId="43CA5AC9" w14:textId="77777777" w:rsidR="005E07DD" w:rsidRPr="005E07DD" w:rsidRDefault="005E07DD" w:rsidP="005E07DD">
      <w:pPr>
        <w:spacing w:before="100" w:beforeAutospacing="1" w:after="100" w:afterAutospacing="1"/>
        <w:outlineLvl w:val="3"/>
        <w:rPr>
          <w:rFonts w:ascii="Cambria" w:hAnsi="Cambria"/>
          <w:b/>
          <w:bCs/>
        </w:rPr>
      </w:pPr>
      <w:r w:rsidRPr="005E07DD">
        <w:rPr>
          <w:rFonts w:ascii="Cambria" w:hAnsi="Cambria"/>
          <w:b/>
          <w:bCs/>
        </w:rPr>
        <w:t>6. Educação Financeira Digital</w:t>
      </w:r>
    </w:p>
    <w:p w14:paraId="4509A191" w14:textId="77777777" w:rsidR="005E07DD" w:rsidRPr="005E07DD" w:rsidRDefault="005E07DD" w:rsidP="005E07DD">
      <w:pPr>
        <w:numPr>
          <w:ilvl w:val="0"/>
          <w:numId w:val="15"/>
        </w:numPr>
        <w:spacing w:before="100" w:beforeAutospacing="1" w:after="100" w:afterAutospacing="1"/>
        <w:rPr>
          <w:rFonts w:ascii="Cambria" w:hAnsi="Cambria"/>
        </w:rPr>
      </w:pPr>
      <w:r w:rsidRPr="005E07DD">
        <w:rPr>
          <w:rFonts w:ascii="Cambria" w:hAnsi="Cambria"/>
        </w:rPr>
        <w:t>Exploração da relação entre o uso de tecnologia (</w:t>
      </w:r>
      <w:proofErr w:type="spellStart"/>
      <w:r w:rsidRPr="005E07DD">
        <w:rPr>
          <w:rFonts w:ascii="Cambria" w:hAnsi="Cambria"/>
        </w:rPr>
        <w:t>ex</w:t>
      </w:r>
      <w:proofErr w:type="spellEnd"/>
      <w:r w:rsidRPr="005E07DD">
        <w:rPr>
          <w:rFonts w:ascii="Cambria" w:hAnsi="Cambria"/>
        </w:rPr>
        <w:t>: aplicativos de banco, carteiras digitais) e a proficiência financeira.</w:t>
      </w:r>
    </w:p>
    <w:p w14:paraId="1D881BA2" w14:textId="77777777" w:rsidR="005E07DD" w:rsidRPr="005E07DD" w:rsidRDefault="005E07DD" w:rsidP="005E07DD">
      <w:pPr>
        <w:numPr>
          <w:ilvl w:val="0"/>
          <w:numId w:val="15"/>
        </w:numPr>
        <w:spacing w:before="100" w:beforeAutospacing="1" w:after="100" w:afterAutospacing="1"/>
        <w:rPr>
          <w:rFonts w:ascii="Cambria" w:hAnsi="Cambria"/>
        </w:rPr>
      </w:pPr>
      <w:r w:rsidRPr="005E07DD">
        <w:rPr>
          <w:rFonts w:ascii="Cambria" w:hAnsi="Cambria"/>
        </w:rPr>
        <w:t>Estudo de como a digitalização influencia o comportamento de consumo e o planejamento financeiro dos jovens.</w:t>
      </w:r>
    </w:p>
    <w:p w14:paraId="0998D52B" w14:textId="77777777" w:rsidR="005E07DD" w:rsidRPr="005E07DD" w:rsidRDefault="00DD4F42" w:rsidP="005E07DD">
      <w:pPr>
        <w:rPr>
          <w:rFonts w:ascii="Cambria" w:hAnsi="Cambria"/>
        </w:rPr>
      </w:pPr>
      <w:r w:rsidRPr="00DD4F42">
        <w:rPr>
          <w:rFonts w:ascii="Cambria" w:hAnsi="Cambria"/>
          <w:noProof/>
        </w:rPr>
        <w:pict w14:anchorId="5E49FD53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473698C1" w14:textId="77777777" w:rsidR="005E07DD" w:rsidRPr="005E07DD" w:rsidRDefault="005E07DD" w:rsidP="005E07DD">
      <w:pPr>
        <w:spacing w:before="100" w:beforeAutospacing="1" w:after="100" w:afterAutospacing="1"/>
        <w:outlineLvl w:val="2"/>
        <w:rPr>
          <w:rFonts w:ascii="Cambria" w:hAnsi="Cambria"/>
          <w:b/>
          <w:bCs/>
          <w:sz w:val="27"/>
          <w:szCs w:val="27"/>
        </w:rPr>
      </w:pPr>
      <w:r w:rsidRPr="005E07DD">
        <w:rPr>
          <w:rFonts w:ascii="Cambria" w:hAnsi="Cambria"/>
          <w:b/>
          <w:bCs/>
          <w:sz w:val="27"/>
          <w:szCs w:val="27"/>
        </w:rPr>
        <w:t>Metodologias Recomendadas</w:t>
      </w:r>
    </w:p>
    <w:p w14:paraId="148EFE8E" w14:textId="77777777" w:rsidR="005E07DD" w:rsidRPr="005E07DD" w:rsidRDefault="005E07DD" w:rsidP="005E07DD">
      <w:pPr>
        <w:numPr>
          <w:ilvl w:val="0"/>
          <w:numId w:val="16"/>
        </w:numPr>
        <w:spacing w:before="100" w:beforeAutospacing="1" w:after="100" w:afterAutospacing="1"/>
        <w:rPr>
          <w:rFonts w:ascii="Cambria" w:hAnsi="Cambria"/>
        </w:rPr>
      </w:pPr>
      <w:r w:rsidRPr="005E07DD">
        <w:rPr>
          <w:rFonts w:ascii="Cambria" w:hAnsi="Cambria"/>
          <w:b/>
          <w:bCs/>
        </w:rPr>
        <w:t>Modelos multiníveis (aluno, escola, país)</w:t>
      </w:r>
      <w:r w:rsidRPr="005E07DD">
        <w:rPr>
          <w:rFonts w:ascii="Cambria" w:hAnsi="Cambria"/>
        </w:rPr>
        <w:t xml:space="preserve"> para capturar variações estruturais.</w:t>
      </w:r>
    </w:p>
    <w:p w14:paraId="4CC84A47" w14:textId="77777777" w:rsidR="005E07DD" w:rsidRPr="005E07DD" w:rsidRDefault="005E07DD" w:rsidP="005E07DD">
      <w:pPr>
        <w:numPr>
          <w:ilvl w:val="0"/>
          <w:numId w:val="16"/>
        </w:numPr>
        <w:spacing w:before="100" w:beforeAutospacing="1" w:after="100" w:afterAutospacing="1"/>
        <w:rPr>
          <w:rFonts w:ascii="Cambria" w:hAnsi="Cambria"/>
        </w:rPr>
      </w:pPr>
      <w:r w:rsidRPr="005E07DD">
        <w:rPr>
          <w:rFonts w:ascii="Cambria" w:hAnsi="Cambria"/>
          <w:b/>
          <w:bCs/>
        </w:rPr>
        <w:lastRenderedPageBreak/>
        <w:t>Equações estruturais (SEM)</w:t>
      </w:r>
      <w:r w:rsidRPr="005E07DD">
        <w:rPr>
          <w:rFonts w:ascii="Cambria" w:hAnsi="Cambria"/>
        </w:rPr>
        <w:t xml:space="preserve"> para estudar relações complexas entre atitudes, comportamentos e proficiência.</w:t>
      </w:r>
    </w:p>
    <w:p w14:paraId="3AD66494" w14:textId="77777777" w:rsidR="005E07DD" w:rsidRPr="005E07DD" w:rsidRDefault="005E07DD" w:rsidP="005E07DD">
      <w:pPr>
        <w:numPr>
          <w:ilvl w:val="0"/>
          <w:numId w:val="16"/>
        </w:numPr>
        <w:spacing w:before="100" w:beforeAutospacing="1" w:after="100" w:afterAutospacing="1"/>
        <w:rPr>
          <w:rFonts w:ascii="Cambria" w:hAnsi="Cambria"/>
        </w:rPr>
      </w:pPr>
      <w:r w:rsidRPr="005E07DD">
        <w:rPr>
          <w:rFonts w:ascii="Cambria" w:hAnsi="Cambria"/>
          <w:b/>
          <w:bCs/>
        </w:rPr>
        <w:t>Técnicas de aprendizado de máquina supervisionado</w:t>
      </w:r>
      <w:r w:rsidRPr="005E07DD">
        <w:rPr>
          <w:rFonts w:ascii="Cambria" w:hAnsi="Cambria"/>
        </w:rPr>
        <w:t xml:space="preserve"> (</w:t>
      </w:r>
      <w:proofErr w:type="spellStart"/>
      <w:r w:rsidRPr="005E07DD">
        <w:rPr>
          <w:rFonts w:ascii="Cambria" w:hAnsi="Cambria"/>
        </w:rPr>
        <w:t>ex</w:t>
      </w:r>
      <w:proofErr w:type="spellEnd"/>
      <w:r w:rsidRPr="005E07DD">
        <w:rPr>
          <w:rFonts w:ascii="Cambria" w:hAnsi="Cambria"/>
        </w:rPr>
        <w:t xml:space="preserve">: </w:t>
      </w:r>
      <w:proofErr w:type="spellStart"/>
      <w:r w:rsidRPr="005E07DD">
        <w:rPr>
          <w:rFonts w:ascii="Cambria" w:hAnsi="Cambria"/>
        </w:rPr>
        <w:t>XGBoost</w:t>
      </w:r>
      <w:proofErr w:type="spellEnd"/>
      <w:r w:rsidRPr="005E07DD">
        <w:rPr>
          <w:rFonts w:ascii="Cambria" w:hAnsi="Cambria"/>
        </w:rPr>
        <w:t>, Random Forest) para prever desempenho com base em múltiplos fatores.</w:t>
      </w:r>
    </w:p>
    <w:p w14:paraId="4DDD52FD" w14:textId="77777777" w:rsidR="005E07DD" w:rsidRPr="005E07DD" w:rsidRDefault="005E07DD" w:rsidP="005E07DD">
      <w:pPr>
        <w:numPr>
          <w:ilvl w:val="0"/>
          <w:numId w:val="16"/>
        </w:numPr>
        <w:spacing w:before="100" w:beforeAutospacing="1" w:after="100" w:afterAutospacing="1"/>
        <w:rPr>
          <w:rFonts w:ascii="Cambria" w:hAnsi="Cambria"/>
        </w:rPr>
      </w:pPr>
      <w:r w:rsidRPr="005E07DD">
        <w:rPr>
          <w:rFonts w:ascii="Cambria" w:hAnsi="Cambria"/>
          <w:b/>
          <w:bCs/>
        </w:rPr>
        <w:t>Análise de correspondência múltipla (MCA)</w:t>
      </w:r>
      <w:r w:rsidRPr="005E07DD">
        <w:rPr>
          <w:rFonts w:ascii="Cambria" w:hAnsi="Cambria"/>
        </w:rPr>
        <w:t xml:space="preserve"> para visualizar perfis financeiros com múltiplas variáveis categóricas.</w:t>
      </w:r>
    </w:p>
    <w:p w14:paraId="3EC589DA" w14:textId="77777777" w:rsidR="005E07DD" w:rsidRPr="005E07DD" w:rsidRDefault="00DD4F42" w:rsidP="005E07DD">
      <w:pPr>
        <w:rPr>
          <w:rFonts w:ascii="Cambria" w:hAnsi="Cambria"/>
        </w:rPr>
      </w:pPr>
      <w:r w:rsidRPr="00DD4F42">
        <w:rPr>
          <w:rFonts w:ascii="Cambria" w:hAnsi="Cambria"/>
          <w:noProof/>
        </w:rPr>
        <w:pict w14:anchorId="57883FE1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3B465726" w14:textId="77777777" w:rsidR="005E07DD" w:rsidRPr="005E07DD" w:rsidRDefault="005E07DD" w:rsidP="005E07DD">
      <w:pPr>
        <w:spacing w:before="100" w:beforeAutospacing="1" w:after="100" w:afterAutospacing="1"/>
        <w:outlineLvl w:val="2"/>
        <w:rPr>
          <w:rFonts w:ascii="Cambria" w:hAnsi="Cambria"/>
          <w:b/>
          <w:bCs/>
          <w:sz w:val="27"/>
          <w:szCs w:val="27"/>
        </w:rPr>
      </w:pPr>
      <w:r w:rsidRPr="005E07DD">
        <w:rPr>
          <w:rFonts w:ascii="Cambria" w:hAnsi="Cambria"/>
          <w:b/>
          <w:bCs/>
          <w:sz w:val="27"/>
          <w:szCs w:val="27"/>
        </w:rPr>
        <w:t>Implicações para Políticas Públicas e Formação Escolar</w:t>
      </w:r>
    </w:p>
    <w:p w14:paraId="148A1650" w14:textId="77777777" w:rsidR="005E07DD" w:rsidRPr="005E07DD" w:rsidRDefault="005E07DD" w:rsidP="005E07DD">
      <w:pPr>
        <w:numPr>
          <w:ilvl w:val="0"/>
          <w:numId w:val="17"/>
        </w:numPr>
        <w:spacing w:before="100" w:beforeAutospacing="1" w:after="100" w:afterAutospacing="1"/>
        <w:rPr>
          <w:rFonts w:ascii="Cambria" w:hAnsi="Cambria"/>
        </w:rPr>
      </w:pPr>
      <w:r w:rsidRPr="005E07DD">
        <w:rPr>
          <w:rFonts w:ascii="Cambria" w:hAnsi="Cambria"/>
        </w:rPr>
        <w:t>Proposição de intervenções escolares baseadas em evidências para integrar o ensino de finanças pessoais de forma transversal e inclusiva.</w:t>
      </w:r>
    </w:p>
    <w:p w14:paraId="1086B5CF" w14:textId="77777777" w:rsidR="005E07DD" w:rsidRPr="005E07DD" w:rsidRDefault="005E07DD" w:rsidP="005E07DD">
      <w:pPr>
        <w:numPr>
          <w:ilvl w:val="0"/>
          <w:numId w:val="17"/>
        </w:numPr>
        <w:spacing w:before="100" w:beforeAutospacing="1" w:after="100" w:afterAutospacing="1"/>
        <w:rPr>
          <w:rFonts w:ascii="Cambria" w:hAnsi="Cambria"/>
        </w:rPr>
      </w:pPr>
      <w:r w:rsidRPr="005E07DD">
        <w:rPr>
          <w:rFonts w:ascii="Cambria" w:hAnsi="Cambria"/>
        </w:rPr>
        <w:t>Apoio ao desenho de políticas que estimulem a autonomia financeira dos jovens em contextos de vulnerabilidade.</w:t>
      </w:r>
    </w:p>
    <w:p w14:paraId="1AF98943" w14:textId="77777777" w:rsidR="005E07DD" w:rsidRPr="005E07DD" w:rsidRDefault="005E07DD" w:rsidP="005E07DD">
      <w:pPr>
        <w:numPr>
          <w:ilvl w:val="0"/>
          <w:numId w:val="17"/>
        </w:numPr>
        <w:spacing w:before="100" w:beforeAutospacing="1" w:after="100" w:afterAutospacing="1"/>
        <w:rPr>
          <w:rFonts w:ascii="Cambria" w:hAnsi="Cambria"/>
        </w:rPr>
      </w:pPr>
      <w:r w:rsidRPr="005E07DD">
        <w:rPr>
          <w:rFonts w:ascii="Cambria" w:hAnsi="Cambria"/>
        </w:rPr>
        <w:t>Geração de indicadores de letramento financeiro juvenil para monitoramento e avaliação nacional.</w:t>
      </w:r>
    </w:p>
    <w:p w14:paraId="2759C5A1" w14:textId="77777777" w:rsidR="005E07DD" w:rsidRPr="005E07DD" w:rsidRDefault="005E07DD">
      <w:pPr>
        <w:rPr>
          <w:rFonts w:ascii="Cambria" w:hAnsi="Cambria"/>
        </w:rPr>
      </w:pPr>
    </w:p>
    <w:sectPr w:rsidR="005E07DD" w:rsidRPr="005E07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102D33"/>
    <w:multiLevelType w:val="multilevel"/>
    <w:tmpl w:val="756E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97413"/>
    <w:multiLevelType w:val="multilevel"/>
    <w:tmpl w:val="A9C0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84463"/>
    <w:multiLevelType w:val="multilevel"/>
    <w:tmpl w:val="AF8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4541A"/>
    <w:multiLevelType w:val="multilevel"/>
    <w:tmpl w:val="692A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E71F4"/>
    <w:multiLevelType w:val="multilevel"/>
    <w:tmpl w:val="DB2E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387AEF"/>
    <w:multiLevelType w:val="multilevel"/>
    <w:tmpl w:val="0996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267C01"/>
    <w:multiLevelType w:val="multilevel"/>
    <w:tmpl w:val="2E08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FC64AF"/>
    <w:multiLevelType w:val="multilevel"/>
    <w:tmpl w:val="C872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315857">
    <w:abstractNumId w:val="8"/>
  </w:num>
  <w:num w:numId="2" w16cid:durableId="468129241">
    <w:abstractNumId w:val="6"/>
  </w:num>
  <w:num w:numId="3" w16cid:durableId="711074041">
    <w:abstractNumId w:val="5"/>
  </w:num>
  <w:num w:numId="4" w16cid:durableId="1218785992">
    <w:abstractNumId w:val="4"/>
  </w:num>
  <w:num w:numId="5" w16cid:durableId="810289939">
    <w:abstractNumId w:val="7"/>
  </w:num>
  <w:num w:numId="6" w16cid:durableId="1726757493">
    <w:abstractNumId w:val="3"/>
  </w:num>
  <w:num w:numId="7" w16cid:durableId="1217668924">
    <w:abstractNumId w:val="2"/>
  </w:num>
  <w:num w:numId="8" w16cid:durableId="255482329">
    <w:abstractNumId w:val="1"/>
  </w:num>
  <w:num w:numId="9" w16cid:durableId="1745101082">
    <w:abstractNumId w:val="0"/>
  </w:num>
  <w:num w:numId="10" w16cid:durableId="630475121">
    <w:abstractNumId w:val="10"/>
  </w:num>
  <w:num w:numId="11" w16cid:durableId="1534342963">
    <w:abstractNumId w:val="11"/>
  </w:num>
  <w:num w:numId="12" w16cid:durableId="1103693921">
    <w:abstractNumId w:val="14"/>
  </w:num>
  <w:num w:numId="13" w16cid:durableId="230510666">
    <w:abstractNumId w:val="9"/>
  </w:num>
  <w:num w:numId="14" w16cid:durableId="1221939610">
    <w:abstractNumId w:val="15"/>
  </w:num>
  <w:num w:numId="15" w16cid:durableId="329065421">
    <w:abstractNumId w:val="13"/>
  </w:num>
  <w:num w:numId="16" w16cid:durableId="1993483332">
    <w:abstractNumId w:val="12"/>
  </w:num>
  <w:num w:numId="17" w16cid:durableId="96430809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1864"/>
    <w:rsid w:val="005E07DD"/>
    <w:rsid w:val="00A230BC"/>
    <w:rsid w:val="00AA1D8D"/>
    <w:rsid w:val="00B47730"/>
    <w:rsid w:val="00CB0664"/>
    <w:rsid w:val="00DD4F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93D69E"/>
  <w14:defaultImageDpi w14:val="300"/>
  <w15:docId w15:val="{126D7838-814C-854F-B178-FEFBE2D44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7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E07D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0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1342</Words>
  <Characters>7253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Simone Aparecida da Silva Lins</cp:lastModifiedBy>
  <cp:revision>2</cp:revision>
  <dcterms:created xsi:type="dcterms:W3CDTF">2013-12-23T23:15:00Z</dcterms:created>
  <dcterms:modified xsi:type="dcterms:W3CDTF">2025-06-18T00:01:00Z</dcterms:modified>
  <cp:category/>
</cp:coreProperties>
</file>